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59CD106C" w:rsidR="00E36013" w:rsidRPr="00E04FC2" w:rsidRDefault="00327B87" w:rsidP="007C6B36">
      <w:pPr>
        <w:spacing w:after="140"/>
        <w:jc w:val="both"/>
        <w:rPr>
          <w:rFonts w:asciiTheme="minorHAnsi" w:hAnsiTheme="minorHAnsi"/>
          <w:b/>
          <w:sz w:val="20"/>
          <w:szCs w:val="20"/>
        </w:rPr>
      </w:pPr>
      <w:r w:rsidRPr="00327B87">
        <w:rPr>
          <w:rFonts w:cstheme="minorHAnsi"/>
          <w:b/>
        </w:rPr>
        <w:t>PERFORACIÓN DE POZO PARA EXTRACCIÓN DE AGUA EN LA FACULTAD DE AGRICULTURA Y ZOOTECNIA</w:t>
      </w:r>
    </w:p>
    <w:p w14:paraId="57D4C5B0" w14:textId="352F6D8D" w:rsidR="001958CF" w:rsidRPr="00E91C02" w:rsidRDefault="001904C3" w:rsidP="007C6B36">
      <w:pPr>
        <w:spacing w:after="14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xml:space="preserve">, y de conformidad con los </w:t>
      </w:r>
      <w:r w:rsidR="00A151ED" w:rsidRPr="00943D37">
        <w:rPr>
          <w:rFonts w:asciiTheme="minorHAnsi" w:hAnsiTheme="minorHAnsi"/>
          <w:sz w:val="20"/>
          <w:szCs w:val="20"/>
        </w:rPr>
        <w:t>A</w:t>
      </w:r>
      <w:r w:rsidR="00A151ED" w:rsidRPr="00943D37">
        <w:rPr>
          <w:rFonts w:asciiTheme="minorHAnsi" w:hAnsiTheme="minorHAnsi"/>
          <w:bCs/>
          <w:sz w:val="20"/>
          <w:szCs w:val="20"/>
        </w:rPr>
        <w:t xml:space="preserve">rtículos </w:t>
      </w:r>
      <w:r w:rsidR="00A151ED">
        <w:rPr>
          <w:rFonts w:asciiTheme="minorHAnsi" w:hAnsiTheme="minorHAnsi"/>
          <w:bCs/>
          <w:sz w:val="20"/>
          <w:szCs w:val="20"/>
        </w:rPr>
        <w:t xml:space="preserve">30, Fracción II, </w:t>
      </w:r>
      <w:r w:rsidR="00A151ED">
        <w:rPr>
          <w:bCs/>
          <w:sz w:val="20"/>
          <w:szCs w:val="20"/>
        </w:rPr>
        <w:t xml:space="preserve">y Artículos 32 segundo párrafo; 49, 52 y 53 </w:t>
      </w:r>
      <w:r w:rsidR="00A151ED" w:rsidRPr="00943D37">
        <w:rPr>
          <w:rFonts w:asciiTheme="minorHAnsi" w:hAnsiTheme="minorHAnsi"/>
          <w:bCs/>
          <w:sz w:val="20"/>
          <w:szCs w:val="20"/>
        </w:rPr>
        <w:t>de la Ley</w:t>
      </w:r>
      <w:r w:rsidR="00A151ED">
        <w:rPr>
          <w:rFonts w:asciiTheme="minorHAnsi" w:hAnsiTheme="minorHAnsi"/>
          <w:bCs/>
          <w:sz w:val="20"/>
          <w:szCs w:val="20"/>
        </w:rPr>
        <w:t xml:space="preserve"> mencionad</w:t>
      </w:r>
      <w:r w:rsidR="00E91C02">
        <w:rPr>
          <w:rFonts w:asciiTheme="minorHAnsi" w:hAnsiTheme="minorHAnsi"/>
          <w:bCs/>
          <w:sz w:val="20"/>
          <w:szCs w:val="20"/>
        </w:rPr>
        <w:t>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morales </w:t>
      </w:r>
      <w:r w:rsidR="00A151ED">
        <w:rPr>
          <w:rFonts w:asciiTheme="minorHAnsi" w:hAnsiTheme="minorHAnsi"/>
          <w:sz w:val="20"/>
          <w:szCs w:val="20"/>
        </w:rPr>
        <w:t>invitadas 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7C6B36">
      <w:pPr>
        <w:spacing w:after="14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20238259" w:rsidR="00DC1AEF" w:rsidRPr="00327B87" w:rsidRDefault="00327B87" w:rsidP="007C6B36">
      <w:pPr>
        <w:spacing w:after="140"/>
        <w:ind w:left="567"/>
        <w:jc w:val="both"/>
        <w:rPr>
          <w:rFonts w:asciiTheme="minorHAnsi" w:hAnsiTheme="minorHAnsi" w:cs="Arial"/>
          <w:bCs/>
          <w:sz w:val="20"/>
          <w:szCs w:val="20"/>
        </w:rPr>
      </w:pPr>
      <w:r w:rsidRPr="00327B87">
        <w:rPr>
          <w:rFonts w:cstheme="minorHAnsi"/>
          <w:sz w:val="20"/>
          <w:szCs w:val="20"/>
        </w:rPr>
        <w:t>Perforación de Pozo para Extracción de Agua en la Facultad de Agricultura y Zootecnia</w:t>
      </w:r>
      <w:r w:rsidRPr="00327B87">
        <w:rPr>
          <w:rFonts w:cs="Arial"/>
          <w:bCs/>
          <w:sz w:val="20"/>
          <w:szCs w:val="20"/>
        </w:rPr>
        <w:t>, ubicada en Carretera Gómez Palacio-Tlahualilo, Km. 32, Ejido Venecia, C.P. 35111, Gómez Palacio, Dgo</w:t>
      </w:r>
      <w:r w:rsidRPr="00327B87">
        <w:rPr>
          <w:rFonts w:cs="Calibri"/>
          <w:bCs/>
          <w:color w:val="000000"/>
          <w:sz w:val="20"/>
          <w:szCs w:val="20"/>
        </w:rPr>
        <w:t>.</w:t>
      </w:r>
    </w:p>
    <w:p w14:paraId="0D57767A"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19A464ED" w:rsidR="00E36013" w:rsidRPr="00E91C02" w:rsidRDefault="001904C3" w:rsidP="007C6B36">
      <w:pPr>
        <w:pStyle w:val="Prrafodelista"/>
        <w:spacing w:after="14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327B87">
        <w:rPr>
          <w:rFonts w:asciiTheme="minorHAnsi" w:hAnsiTheme="minorHAnsi"/>
          <w:sz w:val="20"/>
          <w:szCs w:val="20"/>
        </w:rPr>
        <w:t xml:space="preserve"> mezcla de</w:t>
      </w:r>
      <w:r w:rsidR="00E91C02" w:rsidRPr="00E91C02">
        <w:rPr>
          <w:rFonts w:asciiTheme="minorHAnsi" w:hAnsiTheme="minorHAnsi" w:cstheme="minorHAnsi"/>
          <w:sz w:val="20"/>
          <w:szCs w:val="20"/>
        </w:rPr>
        <w:t xml:space="preserve"> recursos</w:t>
      </w:r>
      <w:r w:rsidR="00327B87">
        <w:rPr>
          <w:rFonts w:asciiTheme="minorHAnsi" w:hAnsiTheme="minorHAnsi" w:cstheme="minorHAnsi"/>
          <w:sz w:val="20"/>
          <w:szCs w:val="20"/>
        </w:rPr>
        <w:t>, tanto</w:t>
      </w:r>
      <w:r w:rsidR="00E91C02" w:rsidRPr="00E91C02">
        <w:rPr>
          <w:rFonts w:asciiTheme="minorHAnsi" w:hAnsiTheme="minorHAnsi" w:cstheme="minorHAnsi"/>
          <w:sz w:val="20"/>
          <w:szCs w:val="20"/>
        </w:rPr>
        <w:t xml:space="preserve"> del Fondo de Aportaciones Múltiples (FAM), </w:t>
      </w:r>
      <w:r w:rsidR="00327B87">
        <w:rPr>
          <w:rFonts w:asciiTheme="minorHAnsi" w:hAnsiTheme="minorHAnsi" w:cstheme="minorHAnsi"/>
          <w:sz w:val="20"/>
          <w:szCs w:val="20"/>
        </w:rPr>
        <w:t>como remanentes FAM, ambos del ejercicio 2025</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7C6B36">
      <w:pPr>
        <w:pStyle w:val="Prrafodelista"/>
        <w:spacing w:after="14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5939BAFB"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00903CDA">
        <w:rPr>
          <w:rFonts w:asciiTheme="minorHAnsi" w:hAnsiTheme="minorHAnsi"/>
          <w:b/>
          <w:sz w:val="20"/>
          <w:szCs w:val="20"/>
        </w:rPr>
        <w:t>5</w:t>
      </w:r>
      <w:r w:rsidRPr="00A078DD">
        <w:rPr>
          <w:rFonts w:asciiTheme="minorHAnsi" w:hAnsiTheme="minorHAnsi"/>
          <w:b/>
          <w:sz w:val="20"/>
          <w:szCs w:val="20"/>
        </w:rPr>
        <w:t>0% (</w:t>
      </w:r>
      <w:r w:rsidR="00903CDA">
        <w:rPr>
          <w:rFonts w:asciiTheme="minorHAnsi" w:hAnsiTheme="minorHAnsi"/>
          <w:b/>
          <w:sz w:val="20"/>
          <w:szCs w:val="20"/>
        </w:rPr>
        <w:t>cincuenta</w:t>
      </w:r>
      <w:bookmarkStart w:id="0" w:name="_GoBack"/>
      <w:bookmarkEnd w:id="0"/>
      <w:r w:rsidRPr="00A078DD">
        <w:rPr>
          <w:rFonts w:asciiTheme="minorHAnsi" w:hAnsiTheme="minorHAnsi"/>
          <w:b/>
          <w:sz w:val="20"/>
          <w:szCs w:val="20"/>
        </w:rPr>
        <w:t xml:space="preserve">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156FB7B2" w:rsidR="00E36013" w:rsidRDefault="00E36013" w:rsidP="007C6B36">
      <w:pPr>
        <w:pStyle w:val="Prrafodelista"/>
        <w:autoSpaceDE w:val="0"/>
        <w:autoSpaceDN w:val="0"/>
        <w:adjustRightInd w:val="0"/>
        <w:spacing w:after="14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E520B3">
        <w:rPr>
          <w:rFonts w:asciiTheme="minorHAnsi" w:hAnsiTheme="minorHAnsi" w:cs="Arial"/>
          <w:b/>
          <w:sz w:val="20"/>
          <w:szCs w:val="20"/>
        </w:rPr>
        <w:t>05</w:t>
      </w:r>
      <w:r w:rsidR="00CF7CBD">
        <w:rPr>
          <w:rFonts w:asciiTheme="minorHAnsi" w:hAnsiTheme="minorHAnsi" w:cs="Arial"/>
          <w:b/>
          <w:sz w:val="20"/>
          <w:szCs w:val="20"/>
        </w:rPr>
        <w:t xml:space="preserve"> de </w:t>
      </w:r>
      <w:r w:rsidR="00E520B3">
        <w:rPr>
          <w:rFonts w:asciiTheme="minorHAnsi" w:hAnsiTheme="minorHAnsi" w:cs="Arial"/>
          <w:b/>
          <w:sz w:val="20"/>
          <w:szCs w:val="20"/>
        </w:rPr>
        <w:t>septiembre</w:t>
      </w:r>
      <w:r w:rsidR="00AF5143" w:rsidRPr="00617D6D">
        <w:rPr>
          <w:rFonts w:asciiTheme="minorHAnsi" w:hAnsiTheme="minorHAnsi" w:cs="Arial"/>
          <w:b/>
          <w:sz w:val="20"/>
          <w:szCs w:val="20"/>
        </w:rPr>
        <w:t xml:space="preserve"> de 202</w:t>
      </w:r>
      <w:r w:rsidR="009F129A" w:rsidRPr="00617D6D">
        <w:rPr>
          <w:rFonts w:asciiTheme="minorHAnsi" w:hAnsiTheme="minorHAnsi" w:cs="Arial"/>
          <w:b/>
          <w:sz w:val="20"/>
          <w:szCs w:val="20"/>
        </w:rPr>
        <w:t>5</w:t>
      </w:r>
      <w:r w:rsidRPr="00617D6D">
        <w:rPr>
          <w:rFonts w:asciiTheme="minorHAnsi" w:hAnsiTheme="minorHAnsi" w:cs="Arial"/>
          <w:sz w:val="20"/>
          <w:szCs w:val="20"/>
        </w:rPr>
        <w:t xml:space="preserve">. El plazo máximo de ejecución de los trabajos será de </w:t>
      </w:r>
      <w:r w:rsidR="00CF7CBD">
        <w:rPr>
          <w:rFonts w:asciiTheme="minorHAnsi" w:hAnsiTheme="minorHAnsi" w:cs="Arial"/>
          <w:b/>
          <w:sz w:val="20"/>
          <w:szCs w:val="20"/>
        </w:rPr>
        <w:t>1</w:t>
      </w:r>
      <w:r w:rsidR="00E520B3">
        <w:rPr>
          <w:rFonts w:asciiTheme="minorHAnsi" w:hAnsiTheme="minorHAnsi" w:cs="Arial"/>
          <w:b/>
          <w:sz w:val="20"/>
          <w:szCs w:val="20"/>
        </w:rPr>
        <w:t>18</w:t>
      </w:r>
      <w:r w:rsidRPr="00617D6D">
        <w:rPr>
          <w:rFonts w:asciiTheme="minorHAnsi" w:hAnsiTheme="minorHAnsi" w:cs="Arial"/>
          <w:sz w:val="20"/>
          <w:szCs w:val="20"/>
        </w:rPr>
        <w:t xml:space="preserve"> días naturales a partir de esta fecha, lo que nos da como fecha de terminación el día </w:t>
      </w:r>
      <w:r w:rsidR="00CF7CBD">
        <w:rPr>
          <w:rFonts w:asciiTheme="minorHAnsi" w:hAnsiTheme="minorHAnsi" w:cs="Arial"/>
          <w:b/>
          <w:sz w:val="20"/>
          <w:szCs w:val="20"/>
        </w:rPr>
        <w:t>31 de diciembre</w:t>
      </w:r>
      <w:r w:rsidR="00AB121A" w:rsidRPr="00617D6D">
        <w:rPr>
          <w:rFonts w:asciiTheme="minorHAnsi" w:hAnsiTheme="minorHAnsi" w:cs="Arial"/>
          <w:b/>
          <w:sz w:val="20"/>
          <w:szCs w:val="20"/>
        </w:rPr>
        <w:t xml:space="preserve"> de 202</w:t>
      </w:r>
      <w:r w:rsidR="00CF7CBD">
        <w:rPr>
          <w:rFonts w:asciiTheme="minorHAnsi" w:hAnsiTheme="minorHAnsi" w:cs="Arial"/>
          <w:b/>
          <w:sz w:val="20"/>
          <w:szCs w:val="20"/>
        </w:rPr>
        <w:t>5</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79E6DC09" w14:textId="77777777" w:rsidR="00DC40F8" w:rsidRDefault="00DC40F8" w:rsidP="007C6B36">
      <w:pPr>
        <w:pStyle w:val="Prrafodelista"/>
        <w:autoSpaceDE w:val="0"/>
        <w:autoSpaceDN w:val="0"/>
        <w:adjustRightInd w:val="0"/>
        <w:spacing w:after="140"/>
        <w:ind w:left="426"/>
        <w:contextualSpacing w:val="0"/>
        <w:jc w:val="both"/>
        <w:rPr>
          <w:rFonts w:asciiTheme="minorHAnsi" w:hAnsiTheme="minorHAnsi" w:cs="Arial"/>
          <w:sz w:val="20"/>
          <w:szCs w:val="20"/>
        </w:rPr>
      </w:pPr>
    </w:p>
    <w:p w14:paraId="3A9C321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MONEDA E IDIOMA</w:t>
      </w:r>
    </w:p>
    <w:p w14:paraId="1539B39C" w14:textId="5CEDE061" w:rsidR="00E36013" w:rsidRDefault="00E36013" w:rsidP="007C6B36">
      <w:pPr>
        <w:pStyle w:val="Prrafodelista"/>
        <w:autoSpaceDE w:val="0"/>
        <w:autoSpaceDN w:val="0"/>
        <w:adjustRightInd w:val="0"/>
        <w:spacing w:after="14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CONDICIONES DE PRECIO</w:t>
      </w:r>
    </w:p>
    <w:p w14:paraId="22FC0E15" w14:textId="77777777" w:rsidR="00E36013" w:rsidRDefault="00E36013" w:rsidP="007C6B36">
      <w:pPr>
        <w:pStyle w:val="Prrafodelista"/>
        <w:autoSpaceDE w:val="0"/>
        <w:autoSpaceDN w:val="0"/>
        <w:adjustRightInd w:val="0"/>
        <w:spacing w:after="14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7C6B36">
      <w:pPr>
        <w:pStyle w:val="Prrafodelista"/>
        <w:autoSpaceDE w:val="0"/>
        <w:autoSpaceDN w:val="0"/>
        <w:adjustRightInd w:val="0"/>
        <w:spacing w:after="14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0B7C56C2" w:rsidR="00E36013"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CF7CBD">
        <w:rPr>
          <w:rFonts w:asciiTheme="minorHAnsi" w:hAnsiTheme="minorHAnsi" w:cs="Arial"/>
          <w:b/>
          <w:sz w:val="20"/>
          <w:szCs w:val="20"/>
        </w:rPr>
        <w:t>1</w:t>
      </w:r>
      <w:r w:rsidR="00E520B3">
        <w:rPr>
          <w:rFonts w:asciiTheme="minorHAnsi" w:hAnsiTheme="minorHAnsi" w:cs="Arial"/>
          <w:b/>
          <w:sz w:val="20"/>
          <w:szCs w:val="20"/>
        </w:rPr>
        <w:t>8</w:t>
      </w:r>
      <w:r w:rsidR="00CF7CBD">
        <w:rPr>
          <w:rFonts w:asciiTheme="minorHAnsi" w:hAnsiTheme="minorHAnsi" w:cs="Arial"/>
          <w:b/>
          <w:sz w:val="20"/>
          <w:szCs w:val="20"/>
        </w:rPr>
        <w:t xml:space="preserve"> de </w:t>
      </w:r>
      <w:r w:rsidR="00E520B3">
        <w:rPr>
          <w:rFonts w:asciiTheme="minorHAnsi" w:hAnsiTheme="minorHAnsi" w:cs="Arial"/>
          <w:b/>
          <w:sz w:val="20"/>
          <w:szCs w:val="20"/>
        </w:rPr>
        <w:t>agosto</w:t>
      </w:r>
      <w:r w:rsidR="00AB121A"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instalaciones de </w:t>
      </w:r>
      <w:r w:rsidR="0033087A" w:rsidRPr="00F53E4E">
        <w:rPr>
          <w:rFonts w:asciiTheme="minorHAnsi" w:hAnsiTheme="minorHAnsi" w:cs="Arial"/>
          <w:sz w:val="20"/>
          <w:szCs w:val="20"/>
        </w:rPr>
        <w:t xml:space="preserve">la </w:t>
      </w:r>
      <w:r w:rsidR="00E520B3" w:rsidRPr="00327B87">
        <w:rPr>
          <w:rFonts w:cstheme="minorHAnsi"/>
          <w:sz w:val="20"/>
          <w:szCs w:val="20"/>
        </w:rPr>
        <w:t>Facultad de Agricultura y Zootecnia</w:t>
      </w:r>
      <w:r w:rsidR="00E520B3" w:rsidRPr="00327B87">
        <w:rPr>
          <w:rFonts w:cs="Arial"/>
          <w:bCs/>
          <w:sz w:val="20"/>
          <w:szCs w:val="20"/>
        </w:rPr>
        <w:t>, ubicada en Carretera Gómez Palacio-Tlahualilo, Km. 32, Ejido Venecia, C.P. 35111, Gómez Palacio, Dgo</w:t>
      </w:r>
      <w:r w:rsidR="008A539E" w:rsidRPr="00F53E4E">
        <w:rPr>
          <w:rFonts w:asciiTheme="minorHAnsi" w:hAnsiTheme="minorHAnsi" w:cs="Arial"/>
          <w:bCs/>
          <w:sz w:val="20"/>
          <w:szCs w:val="20"/>
        </w:rPr>
        <w:t>.</w:t>
      </w:r>
      <w:r w:rsidR="006818EA" w:rsidRPr="00F53E4E">
        <w:rPr>
          <w:rFonts w:asciiTheme="minorHAnsi" w:hAnsiTheme="minorHAnsi" w:cs="Arial"/>
          <w:sz w:val="20"/>
          <w:szCs w:val="20"/>
        </w:rPr>
        <w:t xml:space="preserve">, donde serán atendidos por personal de la </w:t>
      </w:r>
      <w:r w:rsidR="00A837CE" w:rsidRPr="00F53E4E">
        <w:rPr>
          <w:rFonts w:asciiTheme="minorHAnsi" w:hAnsiTheme="minorHAnsi" w:cs="Arial"/>
          <w:sz w:val="20"/>
          <w:szCs w:val="20"/>
        </w:rPr>
        <w:t>C</w:t>
      </w:r>
      <w:r w:rsidR="006818EA" w:rsidRPr="00F53E4E">
        <w:rPr>
          <w:rFonts w:asciiTheme="minorHAnsi" w:hAnsiTheme="minorHAnsi" w:cs="Arial"/>
          <w:sz w:val="20"/>
          <w:szCs w:val="20"/>
        </w:rPr>
        <w:t>o</w:t>
      </w:r>
      <w:r w:rsidRPr="00F53E4E">
        <w:rPr>
          <w:rFonts w:asciiTheme="minorHAnsi" w:hAnsiTheme="minorHAnsi" w:cs="Arial"/>
          <w:sz w:val="20"/>
          <w:szCs w:val="20"/>
        </w:rPr>
        <w:t>ordina</w:t>
      </w:r>
      <w:r w:rsidR="007243D5" w:rsidRPr="00F53E4E">
        <w:rPr>
          <w:rFonts w:asciiTheme="minorHAnsi" w:hAnsiTheme="minorHAnsi" w:cs="Arial"/>
          <w:sz w:val="20"/>
          <w:szCs w:val="20"/>
        </w:rPr>
        <w:t>ción</w:t>
      </w:r>
      <w:r w:rsidRPr="00F53E4E">
        <w:rPr>
          <w:rFonts w:asciiTheme="minorHAnsi" w:hAnsiTheme="minorHAnsi" w:cs="Arial"/>
          <w:sz w:val="20"/>
          <w:szCs w:val="20"/>
        </w:rPr>
        <w:t xml:space="preserve"> de Obras</w:t>
      </w:r>
      <w:r w:rsidR="00EB4D10" w:rsidRPr="00F53E4E">
        <w:rPr>
          <w:rFonts w:asciiTheme="minorHAnsi" w:hAnsiTheme="minorHAnsi" w:cs="Arial"/>
          <w:sz w:val="20"/>
          <w:szCs w:val="20"/>
        </w:rPr>
        <w:t xml:space="preserve"> de la UJED,</w:t>
      </w:r>
      <w:r w:rsidR="0084261A" w:rsidRPr="00F53E4E">
        <w:rPr>
          <w:rFonts w:asciiTheme="minorHAnsi" w:hAnsiTheme="minorHAnsi" w:cs="Arial"/>
          <w:sz w:val="20"/>
          <w:szCs w:val="20"/>
        </w:rPr>
        <w:t xml:space="preserve"> </w:t>
      </w:r>
      <w:r w:rsidR="007243D5" w:rsidRPr="00F53E4E">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6E448521" w:rsidR="00E36013" w:rsidRPr="007C6B36" w:rsidRDefault="00E36013" w:rsidP="007C6B36">
      <w:pPr>
        <w:autoSpaceDE w:val="0"/>
        <w:autoSpaceDN w:val="0"/>
        <w:adjustRightInd w:val="0"/>
        <w:spacing w:after="140"/>
        <w:ind w:left="284"/>
        <w:jc w:val="both"/>
        <w:rPr>
          <w:rFonts w:asciiTheme="minorHAnsi" w:hAnsiTheme="minorHAnsi" w:cs="Arial"/>
          <w:sz w:val="20"/>
          <w:szCs w:val="20"/>
        </w:rPr>
      </w:pPr>
      <w:r w:rsidRPr="00F53E4E">
        <w:rPr>
          <w:rFonts w:asciiTheme="minorHAnsi" w:hAnsiTheme="minorHAnsi" w:cs="Arial"/>
          <w:sz w:val="20"/>
          <w:szCs w:val="20"/>
        </w:rPr>
        <w:t xml:space="preserve">La Junta de Aclaraciones se celebrará el </w:t>
      </w:r>
      <w:r w:rsidR="00E520B3" w:rsidRPr="00E520B3">
        <w:rPr>
          <w:rFonts w:asciiTheme="minorHAnsi" w:hAnsiTheme="minorHAnsi" w:cs="Arial"/>
          <w:b/>
          <w:bCs/>
          <w:sz w:val="20"/>
          <w:szCs w:val="20"/>
        </w:rPr>
        <w:t>20</w:t>
      </w:r>
      <w:r w:rsidR="007C6B36" w:rsidRPr="00E520B3">
        <w:rPr>
          <w:rFonts w:asciiTheme="minorHAnsi" w:hAnsiTheme="minorHAnsi" w:cs="Arial"/>
          <w:b/>
          <w:bCs/>
          <w:sz w:val="20"/>
          <w:szCs w:val="20"/>
        </w:rPr>
        <w:t xml:space="preserve"> de </w:t>
      </w:r>
      <w:r w:rsidR="00E520B3" w:rsidRPr="00E520B3">
        <w:rPr>
          <w:rFonts w:asciiTheme="minorHAnsi" w:hAnsiTheme="minorHAnsi" w:cs="Arial"/>
          <w:b/>
          <w:bCs/>
          <w:sz w:val="20"/>
          <w:szCs w:val="20"/>
        </w:rPr>
        <w:t>agosto</w:t>
      </w:r>
      <w:r w:rsidR="007C6B36" w:rsidRPr="00E520B3">
        <w:rPr>
          <w:rFonts w:asciiTheme="minorHAnsi" w:hAnsiTheme="minorHAnsi" w:cs="Arial"/>
          <w:b/>
          <w:bCs/>
          <w:sz w:val="20"/>
          <w:szCs w:val="20"/>
        </w:rPr>
        <w:t xml:space="preserve"> de </w:t>
      </w:r>
      <w:r w:rsidR="00A837CE" w:rsidRPr="00E520B3">
        <w:rPr>
          <w:rFonts w:asciiTheme="minorHAnsi" w:hAnsiTheme="minorHAnsi" w:cs="Arial"/>
          <w:b/>
          <w:sz w:val="20"/>
          <w:szCs w:val="20"/>
        </w:rPr>
        <w:t>202</w:t>
      </w:r>
      <w:r w:rsidR="00634C41" w:rsidRPr="00E520B3">
        <w:rPr>
          <w:rFonts w:asciiTheme="minorHAnsi" w:hAnsiTheme="minorHAnsi" w:cs="Arial"/>
          <w:b/>
          <w:sz w:val="20"/>
          <w:szCs w:val="20"/>
        </w:rPr>
        <w:t>5</w:t>
      </w:r>
      <w:r w:rsidRPr="00F53E4E">
        <w:rPr>
          <w:rFonts w:asciiTheme="minorHAnsi" w:hAnsiTheme="minorHAnsi" w:cs="Arial"/>
          <w:sz w:val="20"/>
          <w:szCs w:val="20"/>
        </w:rPr>
        <w:t xml:space="preserve">, a las </w:t>
      </w:r>
      <w:r w:rsidR="006554E1" w:rsidRPr="00E520B3">
        <w:rPr>
          <w:rFonts w:asciiTheme="minorHAnsi" w:hAnsiTheme="minorHAnsi" w:cs="Arial"/>
          <w:b/>
          <w:sz w:val="20"/>
          <w:szCs w:val="20"/>
        </w:rPr>
        <w:t>1</w:t>
      </w:r>
      <w:r w:rsidR="00EB2CEF" w:rsidRPr="00E520B3">
        <w:rPr>
          <w:rFonts w:asciiTheme="minorHAnsi" w:hAnsiTheme="minorHAnsi" w:cs="Arial"/>
          <w:b/>
          <w:sz w:val="20"/>
          <w:szCs w:val="20"/>
        </w:rPr>
        <w:t>1</w:t>
      </w:r>
      <w:r w:rsidR="006554E1" w:rsidRPr="00E520B3">
        <w:rPr>
          <w:rFonts w:asciiTheme="minorHAnsi" w:hAnsiTheme="minorHAnsi" w:cs="Arial"/>
          <w:b/>
          <w:sz w:val="20"/>
          <w:szCs w:val="20"/>
        </w:rPr>
        <w:t>:</w:t>
      </w:r>
      <w:r w:rsidR="00A81363" w:rsidRPr="00E520B3">
        <w:rPr>
          <w:rFonts w:asciiTheme="minorHAnsi" w:hAnsiTheme="minorHAnsi" w:cs="Arial"/>
          <w:b/>
          <w:sz w:val="20"/>
          <w:szCs w:val="20"/>
        </w:rPr>
        <w:t>0</w:t>
      </w:r>
      <w:r w:rsidR="006554E1" w:rsidRPr="00E520B3">
        <w:rPr>
          <w:rFonts w:asciiTheme="minorHAnsi" w:hAnsiTheme="minorHAnsi" w:cs="Arial"/>
          <w:b/>
          <w:sz w:val="20"/>
          <w:szCs w:val="20"/>
        </w:rPr>
        <w:t>0</w:t>
      </w:r>
      <w:r w:rsidRPr="00F53E4E">
        <w:rPr>
          <w:rFonts w:asciiTheme="minorHAnsi" w:hAnsiTheme="minorHAnsi" w:cs="Arial"/>
          <w:sz w:val="20"/>
          <w:szCs w:val="20"/>
        </w:rPr>
        <w:t xml:space="preserve"> horas, en </w:t>
      </w:r>
      <w:r w:rsidR="00A151ED" w:rsidRPr="00F53E4E">
        <w:rPr>
          <w:rFonts w:cs="Calibri"/>
          <w:bCs/>
          <w:color w:val="000000"/>
          <w:sz w:val="20"/>
          <w:szCs w:val="20"/>
        </w:rPr>
        <w:t xml:space="preserve">la </w:t>
      </w:r>
      <w:r w:rsidR="007C6B36" w:rsidRPr="00F53E4E">
        <w:rPr>
          <w:rFonts w:asciiTheme="minorHAnsi" w:hAnsiTheme="minorHAnsi" w:cstheme="minorHAnsi"/>
          <w:sz w:val="20"/>
          <w:szCs w:val="20"/>
        </w:rPr>
        <w:t xml:space="preserve">Sala de Juntas de </w:t>
      </w:r>
      <w:r w:rsidR="00F53E4E" w:rsidRPr="00F53E4E">
        <w:rPr>
          <w:rFonts w:asciiTheme="minorHAnsi" w:hAnsiTheme="minorHAnsi" w:cstheme="minorHAnsi"/>
          <w:sz w:val="20"/>
          <w:szCs w:val="20"/>
        </w:rPr>
        <w:t xml:space="preserve">la </w:t>
      </w:r>
      <w:r w:rsidR="00F53E4E" w:rsidRPr="00F53E4E">
        <w:rPr>
          <w:rFonts w:cstheme="minorHAnsi"/>
          <w:sz w:val="20"/>
          <w:szCs w:val="20"/>
        </w:rPr>
        <w:t>Facultad de Ingeniería, Ciencias y Arquitectura</w:t>
      </w:r>
      <w:r w:rsidR="00F53E4E" w:rsidRPr="00F53E4E">
        <w:rPr>
          <w:rFonts w:cs="Arial"/>
          <w:bCs/>
          <w:sz w:val="20"/>
          <w:szCs w:val="20"/>
        </w:rPr>
        <w:t>, ubicada en Av. Universidad S/N, Fracc. Filadelfia, C.P. 35010, Gómez Palacio, Dgo</w:t>
      </w:r>
      <w:r w:rsidR="0011274C" w:rsidRPr="00F53E4E">
        <w:rPr>
          <w:rFonts w:asciiTheme="minorHAnsi" w:hAnsiTheme="minorHAnsi" w:cstheme="minorHAnsi"/>
          <w:sz w:val="20"/>
          <w:szCs w:val="20"/>
        </w:rPr>
        <w:t>.</w:t>
      </w:r>
      <w:r w:rsidRPr="00F53E4E">
        <w:rPr>
          <w:rFonts w:asciiTheme="minorHAnsi" w:hAnsiTheme="minorHAnsi" w:cs="Arial"/>
          <w:sz w:val="20"/>
          <w:szCs w:val="20"/>
        </w:rPr>
        <w:t>, siendo optativa la asistencia</w:t>
      </w:r>
      <w:r w:rsidRPr="007C6B36">
        <w:rPr>
          <w:rFonts w:asciiTheme="minorHAnsi" w:hAnsiTheme="minorHAnsi" w:cs="Arial"/>
          <w:sz w:val="20"/>
          <w:szCs w:val="20"/>
        </w:rPr>
        <w:t>.</w:t>
      </w:r>
    </w:p>
    <w:p w14:paraId="47301435" w14:textId="77777777" w:rsidR="00E36013" w:rsidRPr="0031677D" w:rsidRDefault="00E36013" w:rsidP="007C6B36">
      <w:pPr>
        <w:autoSpaceDE w:val="0"/>
        <w:autoSpaceDN w:val="0"/>
        <w:adjustRightInd w:val="0"/>
        <w:spacing w:after="14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7C6B36">
      <w:pPr>
        <w:autoSpaceDE w:val="0"/>
        <w:autoSpaceDN w:val="0"/>
        <w:adjustRightInd w:val="0"/>
        <w:spacing w:after="14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3DF8AED1" w:rsidR="004E211F" w:rsidRDefault="004E211F"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E520B3">
        <w:rPr>
          <w:rFonts w:asciiTheme="minorHAnsi" w:hAnsiTheme="minorHAnsi" w:cs="Arial"/>
          <w:b/>
          <w:bCs/>
          <w:sz w:val="20"/>
          <w:szCs w:val="20"/>
        </w:rPr>
        <w:t>29</w:t>
      </w:r>
      <w:r w:rsidR="007C6B36">
        <w:rPr>
          <w:rFonts w:asciiTheme="minorHAnsi" w:hAnsiTheme="minorHAnsi" w:cs="Arial"/>
          <w:b/>
          <w:bCs/>
          <w:sz w:val="20"/>
          <w:szCs w:val="20"/>
        </w:rPr>
        <w:t xml:space="preserve"> de agosto de </w:t>
      </w:r>
      <w:r w:rsidR="0078306F" w:rsidRPr="00617D6D">
        <w:rPr>
          <w:rFonts w:asciiTheme="minorHAnsi" w:hAnsiTheme="minorHAnsi" w:cs="Arial"/>
          <w:b/>
          <w:sz w:val="20"/>
          <w:szCs w:val="20"/>
        </w:rPr>
        <w:t>202</w:t>
      </w:r>
      <w:r w:rsidR="00634C41" w:rsidRPr="00617D6D">
        <w:rPr>
          <w:rFonts w:asciiTheme="minorHAnsi" w:hAnsiTheme="minorHAnsi" w:cs="Arial"/>
          <w:b/>
          <w:sz w:val="20"/>
          <w:szCs w:val="20"/>
        </w:rPr>
        <w:t>5</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F53E4E">
        <w:rPr>
          <w:rFonts w:asciiTheme="minorHAnsi" w:hAnsiTheme="minorHAnsi" w:cs="Arial"/>
          <w:b/>
          <w:sz w:val="20"/>
          <w:szCs w:val="20"/>
        </w:rPr>
        <w:t>3</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7C6B36">
      <w:pPr>
        <w:autoSpaceDE w:val="0"/>
        <w:autoSpaceDN w:val="0"/>
        <w:adjustRightInd w:val="0"/>
        <w:spacing w:after="140"/>
        <w:ind w:left="284"/>
        <w:jc w:val="both"/>
        <w:rPr>
          <w:sz w:val="20"/>
          <w:szCs w:val="20"/>
        </w:rPr>
      </w:pPr>
      <w:r w:rsidRPr="00F0259A">
        <w:rPr>
          <w:rFonts w:asciiTheme="minorHAnsi" w:hAnsiTheme="minorHAnsi" w:cs="Arial"/>
          <w:sz w:val="20"/>
          <w:szCs w:val="20"/>
        </w:rPr>
        <w:lastRenderedPageBreak/>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7C6B36">
      <w:pPr>
        <w:autoSpaceDE w:val="0"/>
        <w:autoSpaceDN w:val="0"/>
        <w:adjustRightInd w:val="0"/>
        <w:spacing w:after="140"/>
        <w:ind w:left="284"/>
        <w:jc w:val="both"/>
        <w:rPr>
          <w:rFonts w:asciiTheme="minorHAnsi" w:hAnsiTheme="minorHAnsi" w:cs="Arial"/>
          <w:sz w:val="20"/>
          <w:szCs w:val="20"/>
        </w:rPr>
      </w:pPr>
      <w:r>
        <w:rPr>
          <w:sz w:val="20"/>
          <w:szCs w:val="20"/>
        </w:rPr>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7C6B36">
      <w:pPr>
        <w:autoSpaceDE w:val="0"/>
        <w:autoSpaceDN w:val="0"/>
        <w:adjustRightInd w:val="0"/>
        <w:spacing w:after="14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30E6E5E0"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E520B3">
        <w:rPr>
          <w:rFonts w:asciiTheme="minorHAnsi" w:hAnsiTheme="minorHAnsi" w:cs="Arial"/>
          <w:b/>
          <w:sz w:val="20"/>
          <w:szCs w:val="20"/>
        </w:rPr>
        <w:t>02</w:t>
      </w:r>
      <w:r w:rsidR="007C6B36">
        <w:rPr>
          <w:rFonts w:asciiTheme="minorHAnsi" w:hAnsiTheme="minorHAnsi" w:cs="Arial"/>
          <w:b/>
          <w:sz w:val="20"/>
          <w:szCs w:val="20"/>
        </w:rPr>
        <w:t xml:space="preserve"> de </w:t>
      </w:r>
      <w:r w:rsidR="00E520B3">
        <w:rPr>
          <w:rFonts w:asciiTheme="minorHAnsi" w:hAnsiTheme="minorHAnsi" w:cs="Arial"/>
          <w:b/>
          <w:sz w:val="20"/>
          <w:szCs w:val="20"/>
        </w:rPr>
        <w:t>septiembre</w:t>
      </w:r>
      <w:r w:rsidR="00A837CE" w:rsidRPr="00617D6D">
        <w:rPr>
          <w:rFonts w:asciiTheme="minorHAnsi" w:hAnsiTheme="minorHAnsi" w:cs="Arial"/>
          <w:b/>
          <w:sz w:val="20"/>
          <w:szCs w:val="20"/>
        </w:rPr>
        <w:t xml:space="preserve"> de 202</w:t>
      </w:r>
      <w:r w:rsidR="00617D6D"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EB2CEF" w:rsidRPr="00617D6D">
        <w:rPr>
          <w:rFonts w:asciiTheme="minorHAnsi" w:hAnsiTheme="minorHAnsi" w:cs="Arial"/>
          <w:b/>
          <w:sz w:val="20"/>
          <w:szCs w:val="20"/>
        </w:rPr>
        <w:t>1</w:t>
      </w:r>
      <w:r w:rsidR="007471E0" w:rsidRPr="00617D6D">
        <w:rPr>
          <w:rFonts w:asciiTheme="minorHAnsi" w:hAnsiTheme="minorHAnsi" w:cs="Arial"/>
          <w:b/>
          <w:sz w:val="20"/>
          <w:szCs w:val="20"/>
        </w:rPr>
        <w:t>:</w:t>
      </w:r>
      <w:r w:rsidR="00E520B3">
        <w:rPr>
          <w:rFonts w:asciiTheme="minorHAnsi" w:hAnsiTheme="minorHAnsi" w:cs="Arial"/>
          <w:b/>
          <w:sz w:val="20"/>
          <w:szCs w:val="20"/>
        </w:rPr>
        <w:t>00</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7C6B36">
        <w:rPr>
          <w:rFonts w:asciiTheme="minorHAnsi" w:hAnsiTheme="minorHAnsi" w:cs="Arial"/>
          <w:sz w:val="20"/>
          <w:szCs w:val="20"/>
        </w:rPr>
        <w:t xml:space="preserve">la </w:t>
      </w:r>
      <w:r w:rsidR="00517538" w:rsidRPr="007C6B36">
        <w:rPr>
          <w:rFonts w:asciiTheme="minorHAnsi" w:hAnsiTheme="minorHAnsi" w:cstheme="minorHAnsi"/>
          <w:sz w:val="20"/>
          <w:szCs w:val="20"/>
        </w:rPr>
        <w:t xml:space="preserve">Sala de Juntas de la </w:t>
      </w:r>
      <w:r w:rsidR="00517538">
        <w:rPr>
          <w:rFonts w:asciiTheme="minorHAnsi" w:hAnsiTheme="minorHAnsi" w:cstheme="minorHAnsi"/>
          <w:sz w:val="20"/>
          <w:szCs w:val="20"/>
        </w:rPr>
        <w:t>Subsecretaría General Administrativa</w:t>
      </w:r>
      <w:r w:rsidR="00517538"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517538">
        <w:rPr>
          <w:rFonts w:cs="Calibri"/>
          <w:bCs/>
          <w:color w:val="000000"/>
          <w:sz w:val="20"/>
          <w:szCs w:val="20"/>
        </w:rPr>
        <w:t>Alta</w:t>
      </w:r>
      <w:r w:rsidR="00517538" w:rsidRPr="00617D6D">
        <w:rPr>
          <w:rFonts w:cs="Calibri"/>
          <w:bCs/>
          <w:color w:val="000000"/>
          <w:sz w:val="20"/>
          <w:szCs w:val="20"/>
        </w:rPr>
        <w:t xml:space="preserve">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60059DB" w:rsidR="00E36013" w:rsidRDefault="0087526E"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1684051F" w14:textId="77777777" w:rsidR="00DC40F8" w:rsidRDefault="00DC40F8" w:rsidP="007C6B36">
      <w:pPr>
        <w:autoSpaceDE w:val="0"/>
        <w:autoSpaceDN w:val="0"/>
        <w:adjustRightInd w:val="0"/>
        <w:spacing w:after="140"/>
        <w:ind w:left="284"/>
        <w:jc w:val="both"/>
        <w:rPr>
          <w:rFonts w:asciiTheme="minorHAnsi" w:hAnsiTheme="minorHAnsi" w:cs="Arial"/>
          <w:sz w:val="20"/>
          <w:szCs w:val="20"/>
        </w:rPr>
      </w:pPr>
    </w:p>
    <w:p w14:paraId="0898EC3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DC40F8"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DC40F8">
        <w:rPr>
          <w:rFonts w:asciiTheme="minorHAnsi" w:hAnsiTheme="minorHAnsi" w:cs="Arial"/>
          <w:sz w:val="20"/>
          <w:szCs w:val="20"/>
        </w:rPr>
        <w:t xml:space="preserve">Adicionalmente a los poderes y documentos que deberán acreditar indicados en el numeral </w:t>
      </w:r>
      <w:r w:rsidRPr="00DC40F8">
        <w:rPr>
          <w:rFonts w:asciiTheme="minorHAnsi" w:hAnsiTheme="minorHAnsi" w:cs="Arial"/>
          <w:b/>
          <w:sz w:val="20"/>
          <w:szCs w:val="20"/>
        </w:rPr>
        <w:t>I)</w:t>
      </w:r>
      <w:r w:rsidRPr="00DC40F8">
        <w:rPr>
          <w:rFonts w:asciiTheme="minorHAnsi" w:hAnsiTheme="minorHAnsi" w:cs="Arial"/>
          <w:sz w:val="20"/>
          <w:szCs w:val="20"/>
        </w:rPr>
        <w:t xml:space="preserve"> y </w:t>
      </w:r>
      <w:r w:rsidRPr="00DC40F8">
        <w:rPr>
          <w:rFonts w:asciiTheme="minorHAnsi" w:hAnsiTheme="minorHAnsi" w:cs="Arial"/>
          <w:b/>
          <w:sz w:val="20"/>
          <w:szCs w:val="20"/>
        </w:rPr>
        <w:t>II)</w:t>
      </w:r>
      <w:r w:rsidRPr="00DC40F8">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Declaración anual de la prima del seguro de riesgo de trabajo vigente realizada ante el IMSS. En caso de no contar aún con dicha declaración, presentar documentación que compruebe </w:t>
      </w:r>
      <w:r>
        <w:rPr>
          <w:rFonts w:asciiTheme="minorHAnsi" w:hAnsiTheme="minorHAnsi" w:cs="Arial"/>
          <w:sz w:val="20"/>
          <w:szCs w:val="20"/>
        </w:rPr>
        <w:lastRenderedPageBreak/>
        <w:t>el factor de la prima de seguro de riesgo utilizado en los análisis de costos de la propuesta, el cual deberá estar actualizado conforme a la norma del IMSS.</w:t>
      </w:r>
    </w:p>
    <w:p w14:paraId="14AAB84F" w14:textId="46855367" w:rsidR="007450D5" w:rsidRPr="00891C59" w:rsidRDefault="007450D5"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2A43DDFD" w:rsidR="003B6659" w:rsidRPr="003F0885" w:rsidRDefault="003B6659"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08A802F0" w14:textId="3FB0FDB1" w:rsidR="003F0885" w:rsidRPr="008F3955" w:rsidRDefault="003F0885"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3F0885">
        <w:rPr>
          <w:rFonts w:asciiTheme="minorHAnsi" w:hAnsiTheme="minorHAnsi"/>
          <w:sz w:val="20"/>
          <w:szCs w:val="20"/>
        </w:rPr>
        <w:t xml:space="preserve">Escrito, bajo </w:t>
      </w:r>
      <w:r w:rsidRPr="008F3955">
        <w:rPr>
          <w:rFonts w:asciiTheme="minorHAnsi" w:hAnsiTheme="minorHAnsi"/>
          <w:sz w:val="20"/>
          <w:szCs w:val="20"/>
        </w:rPr>
        <w:t>protesta de decir verdad de que los estudios, planes o programas que previamente hayan realizado, incluyen supuestos, especificaciones e información verídicos y se ajustan a los requerimientos reales de la obra a ejecutar, así como que, en su caso, consideran costos estimados apegado</w:t>
      </w:r>
      <w:r w:rsidR="008F3955" w:rsidRPr="008F3955">
        <w:rPr>
          <w:rFonts w:asciiTheme="minorHAnsi" w:hAnsiTheme="minorHAnsi"/>
          <w:sz w:val="20"/>
          <w:szCs w:val="20"/>
        </w:rPr>
        <w:t xml:space="preserve">s a las condiciones del mercado, conforme al </w:t>
      </w:r>
      <w:r w:rsidR="008F3955" w:rsidRPr="008F3955">
        <w:rPr>
          <w:rFonts w:cstheme="minorHAnsi"/>
          <w:sz w:val="20"/>
          <w:szCs w:val="20"/>
        </w:rPr>
        <w:t xml:space="preserve">Artículo 63, Fracción VII, segundo párrafo de la </w:t>
      </w:r>
      <w:r w:rsidR="008F3955" w:rsidRPr="008F3955">
        <w:rPr>
          <w:rFonts w:cstheme="minorHAnsi"/>
          <w:bCs/>
          <w:sz w:val="20"/>
          <w:szCs w:val="20"/>
        </w:rPr>
        <w:t>Ley de Obra Pública y Servicios Relacionados con la Misma para el Estado de Durango y sus Municipios</w:t>
      </w:r>
      <w:r w:rsidR="008F3955" w:rsidRPr="008F3955">
        <w:rPr>
          <w:sz w:val="20"/>
          <w:szCs w:val="20"/>
        </w:rPr>
        <w:t>.</w:t>
      </w:r>
    </w:p>
    <w:p w14:paraId="2DB6FCFB" w14:textId="77777777" w:rsidR="00E36013" w:rsidRPr="00F31351" w:rsidRDefault="00E36013" w:rsidP="007C6B36">
      <w:pPr>
        <w:autoSpaceDE w:val="0"/>
        <w:autoSpaceDN w:val="0"/>
        <w:adjustRightInd w:val="0"/>
        <w:spacing w:after="140"/>
        <w:jc w:val="both"/>
        <w:rPr>
          <w:rFonts w:asciiTheme="minorHAnsi" w:hAnsiTheme="minorHAnsi"/>
          <w:b/>
          <w:sz w:val="20"/>
          <w:szCs w:val="20"/>
        </w:rPr>
      </w:pPr>
      <w:r w:rsidRPr="008F3955">
        <w:rPr>
          <w:rFonts w:asciiTheme="minorHAnsi" w:hAnsiTheme="minorHAnsi"/>
          <w:b/>
          <w:sz w:val="20"/>
          <w:szCs w:val="20"/>
        </w:rPr>
        <w:t xml:space="preserve">11 </w:t>
      </w:r>
      <w:r w:rsidRPr="008F3955">
        <w:rPr>
          <w:rFonts w:asciiTheme="minorHAnsi" w:hAnsiTheme="minorHAnsi"/>
          <w:b/>
          <w:sz w:val="20"/>
          <w:szCs w:val="20"/>
        </w:rPr>
        <w:tab/>
        <w:t>EXPERIENCIA, CA</w:t>
      </w:r>
      <w:r w:rsidRPr="00F31351">
        <w:rPr>
          <w:rFonts w:asciiTheme="minorHAnsi" w:hAnsiTheme="minorHAnsi"/>
          <w:b/>
          <w:sz w:val="20"/>
          <w:szCs w:val="20"/>
        </w:rPr>
        <w:t>PACIDAD TÉCNICA Y FINANCIERA QUE SE REQUIERE</w:t>
      </w:r>
    </w:p>
    <w:p w14:paraId="6013F05D" w14:textId="77777777" w:rsidR="00E36013" w:rsidRPr="00386045" w:rsidRDefault="00E36013"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 xml:space="preserve">Cuando el licitante no haya formalizado contratos con dependencias y entidades, éste lo manifestará por escrito a la </w:t>
      </w:r>
      <w:r w:rsidR="00D939EF" w:rsidRPr="0006412B">
        <w:rPr>
          <w:rFonts w:asciiTheme="minorHAnsi" w:hAnsiTheme="minorHAnsi"/>
          <w:sz w:val="20"/>
          <w:szCs w:val="20"/>
        </w:rPr>
        <w:t>Universidad Juárez del Estado de Durango</w:t>
      </w:r>
      <w:r w:rsidRPr="0006412B">
        <w:rPr>
          <w:rFonts w:asciiTheme="minorHAnsi" w:hAnsiTheme="minorHAnsi" w:cs="Arial"/>
          <w:sz w:val="20"/>
          <w:szCs w:val="20"/>
        </w:rPr>
        <w:t>, bajo protesta de decir verdad.</w:t>
      </w:r>
    </w:p>
    <w:p w14:paraId="28C35BD0" w14:textId="19A5BB33"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Se deberá acreditar la inscripción en el Registro Federal de Contribuyentes</w:t>
      </w:r>
      <w:r w:rsidR="0071219C" w:rsidRPr="0006412B">
        <w:rPr>
          <w:rFonts w:asciiTheme="minorHAnsi" w:hAnsiTheme="minorHAnsi" w:cs="Arial"/>
          <w:sz w:val="20"/>
          <w:szCs w:val="20"/>
        </w:rPr>
        <w:t>, así como manifestar, por escrito, su domicilio fiscal</w:t>
      </w:r>
      <w:r w:rsidRPr="0006412B">
        <w:rPr>
          <w:rFonts w:asciiTheme="minorHAnsi" w:hAnsiTheme="minorHAnsi" w:cs="Arial"/>
          <w:sz w:val="20"/>
          <w:szCs w:val="20"/>
        </w:rPr>
        <w:t>.</w:t>
      </w:r>
    </w:p>
    <w:p w14:paraId="1F30B5B8" w14:textId="51BB58F3" w:rsidR="00E36013" w:rsidRPr="0047257D" w:rsidRDefault="00E36013"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lastRenderedPageBreak/>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9C86BEF" w:rsidR="0047257D" w:rsidRPr="0047257D" w:rsidRDefault="0047257D"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7C6B36">
      <w:pPr>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7C6B36">
      <w:pPr>
        <w:autoSpaceDE w:val="0"/>
        <w:autoSpaceDN w:val="0"/>
        <w:adjustRightInd w:val="0"/>
        <w:spacing w:after="14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7C6B36">
      <w:pPr>
        <w:autoSpaceDE w:val="0"/>
        <w:autoSpaceDN w:val="0"/>
        <w:adjustRightInd w:val="0"/>
        <w:spacing w:after="14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lastRenderedPageBreak/>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7C6B36">
      <w:pPr>
        <w:tabs>
          <w:tab w:val="left" w:pos="0"/>
        </w:tabs>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7C6B36">
      <w:pPr>
        <w:tabs>
          <w:tab w:val="left" w:pos="0"/>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w:t>
      </w:r>
      <w:r w:rsidRPr="00F0259A">
        <w:rPr>
          <w:rFonts w:asciiTheme="minorHAnsi" w:hAnsiTheme="minorHAnsi"/>
          <w:sz w:val="20"/>
          <w:szCs w:val="20"/>
        </w:rPr>
        <w:lastRenderedPageBreak/>
        <w:t>de asegurar el abastecimiento de bienes, servicios u otros beneficios que finalmente no se recibieron o no se prestaron.</w:t>
      </w:r>
    </w:p>
    <w:p w14:paraId="78D2C6E6" w14:textId="6DF68DE3"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7C6B36">
      <w:pPr>
        <w:tabs>
          <w:tab w:val="left" w:pos="0"/>
        </w:tabs>
        <w:autoSpaceDE w:val="0"/>
        <w:autoSpaceDN w:val="0"/>
        <w:adjustRightInd w:val="0"/>
        <w:spacing w:after="14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7C6B36">
      <w:pPr>
        <w:tabs>
          <w:tab w:val="left" w:pos="284"/>
        </w:tabs>
        <w:autoSpaceDE w:val="0"/>
        <w:autoSpaceDN w:val="0"/>
        <w:adjustRightInd w:val="0"/>
        <w:spacing w:after="14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6412B">
      <w:pPr>
        <w:pStyle w:val="Prrafodelista"/>
        <w:numPr>
          <w:ilvl w:val="0"/>
          <w:numId w:val="3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6412B">
      <w:pPr>
        <w:pStyle w:val="Prrafodelista"/>
        <w:numPr>
          <w:ilvl w:val="0"/>
          <w:numId w:val="3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68E8F9F" w14:textId="77777777" w:rsidR="0006412B" w:rsidRDefault="0006412B" w:rsidP="007C6B36">
      <w:pPr>
        <w:spacing w:after="140"/>
        <w:jc w:val="both"/>
        <w:rPr>
          <w:rFonts w:asciiTheme="minorHAnsi" w:hAnsiTheme="minorHAnsi"/>
          <w:b/>
          <w:sz w:val="20"/>
          <w:szCs w:val="20"/>
        </w:rPr>
      </w:pPr>
    </w:p>
    <w:p w14:paraId="43D3A19F" w14:textId="52E216B9" w:rsidR="00E36013" w:rsidRPr="00F0259A" w:rsidRDefault="00E36013" w:rsidP="007C6B36">
      <w:pPr>
        <w:spacing w:after="140"/>
        <w:jc w:val="both"/>
        <w:rPr>
          <w:rFonts w:asciiTheme="minorHAnsi" w:hAnsiTheme="minorHAnsi"/>
          <w:b/>
          <w:sz w:val="20"/>
          <w:szCs w:val="20"/>
        </w:rPr>
      </w:pPr>
      <w:r w:rsidRPr="00F0259A">
        <w:rPr>
          <w:rFonts w:asciiTheme="minorHAnsi" w:hAnsiTheme="minorHAnsi"/>
          <w:b/>
          <w:sz w:val="20"/>
          <w:szCs w:val="20"/>
        </w:rPr>
        <w:lastRenderedPageBreak/>
        <w:t>17</w:t>
      </w:r>
      <w:r w:rsidRPr="00F0259A">
        <w:rPr>
          <w:rFonts w:asciiTheme="minorHAnsi" w:hAnsiTheme="minorHAnsi"/>
          <w:b/>
          <w:sz w:val="20"/>
          <w:szCs w:val="20"/>
        </w:rPr>
        <w:tab/>
        <w:t>DEL CONTRATO</w:t>
      </w:r>
    </w:p>
    <w:p w14:paraId="28EC2342" w14:textId="7777777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5E911858"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E520B3">
        <w:rPr>
          <w:rFonts w:asciiTheme="minorHAnsi" w:hAnsiTheme="minorHAnsi"/>
          <w:b/>
          <w:sz w:val="20"/>
          <w:szCs w:val="20"/>
        </w:rPr>
        <w:t>05</w:t>
      </w:r>
      <w:r w:rsidR="007C6B36">
        <w:rPr>
          <w:rFonts w:asciiTheme="minorHAnsi" w:hAnsiTheme="minorHAnsi"/>
          <w:b/>
          <w:sz w:val="20"/>
          <w:szCs w:val="20"/>
        </w:rPr>
        <w:t xml:space="preserve"> de </w:t>
      </w:r>
      <w:r w:rsidR="00E520B3">
        <w:rPr>
          <w:rFonts w:asciiTheme="minorHAnsi" w:hAnsiTheme="minorHAnsi"/>
          <w:b/>
          <w:sz w:val="20"/>
          <w:szCs w:val="20"/>
        </w:rPr>
        <w:t>septiembre</w:t>
      </w:r>
      <w:r w:rsidR="00A837CE" w:rsidRPr="00617D6D">
        <w:rPr>
          <w:rFonts w:asciiTheme="minorHAnsi" w:hAnsiTheme="minorHAnsi"/>
          <w:b/>
          <w:sz w:val="20"/>
          <w:szCs w:val="20"/>
        </w:rPr>
        <w:t xml:space="preserve"> de 202</w:t>
      </w:r>
      <w:r w:rsidR="007D339D" w:rsidRPr="00617D6D">
        <w:rPr>
          <w:rFonts w:asciiTheme="minorHAnsi" w:hAnsiTheme="minorHAnsi"/>
          <w:b/>
          <w:sz w:val="20"/>
          <w:szCs w:val="20"/>
        </w:rPr>
        <w:t>5</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01ACDCE7" w:rsidR="00E36013"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7C6B36">
      <w:pPr>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7C6B36">
      <w:pPr>
        <w:spacing w:after="14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7C6B36">
      <w:pPr>
        <w:spacing w:after="14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7C6B36">
      <w:pPr>
        <w:spacing w:after="14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7C6B36">
      <w:pPr>
        <w:spacing w:after="14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38BDA675"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p>
    <w:p w14:paraId="699732E1" w14:textId="45AD2FA0"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7C6B36">
      <w:pPr>
        <w:spacing w:after="14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7C6B36">
      <w:pPr>
        <w:spacing w:after="14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2D5FE24A" w:rsidR="00E36013" w:rsidRDefault="00D04C2A"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7C6B36">
      <w:pPr>
        <w:spacing w:after="14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143BFC69"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7C6B36">
      <w:pPr>
        <w:spacing w:after="140"/>
        <w:jc w:val="both"/>
        <w:rPr>
          <w:rFonts w:eastAsiaTheme="minorHAnsi" w:cs="Calibri"/>
          <w:color w:val="000000"/>
          <w:sz w:val="20"/>
          <w:szCs w:val="20"/>
          <w:lang w:eastAsia="en-US"/>
        </w:rPr>
      </w:pPr>
      <w:r w:rsidRPr="00506966">
        <w:rPr>
          <w:rFonts w:asciiTheme="minorHAnsi" w:hAnsiTheme="minorHAnsi" w:cstheme="minorHAnsi"/>
          <w:sz w:val="20"/>
          <w:szCs w:val="20"/>
        </w:rPr>
        <w:lastRenderedPageBreak/>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7C6B36">
      <w:pPr>
        <w:spacing w:after="14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FF76C2B" w:rsidR="001C29F3" w:rsidRDefault="00390064" w:rsidP="007C6B36">
      <w:pPr>
        <w:spacing w:after="140"/>
        <w:jc w:val="both"/>
        <w:rPr>
          <w:rFonts w:asciiTheme="minorHAnsi" w:hAnsiTheme="minorHAnsi" w:cstheme="minorHAnsi"/>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7C6B36">
      <w:pPr>
        <w:spacing w:after="14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7C6B36">
      <w:pPr>
        <w:pStyle w:val="Prrafodelista"/>
        <w:numPr>
          <w:ilvl w:val="0"/>
          <w:numId w:val="22"/>
        </w:numPr>
        <w:spacing w:after="14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7C6B36">
      <w:pPr>
        <w:spacing w:after="14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17DFE40B"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lastRenderedPageBreak/>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0F22A38D" w:rsidR="00E36013" w:rsidRDefault="00E36013" w:rsidP="007C6B36">
      <w:pPr>
        <w:spacing w:after="14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3F7E1374" w14:textId="441BA5FA" w:rsidR="00E520B3" w:rsidRPr="00F0259A" w:rsidRDefault="00E520B3" w:rsidP="00E520B3">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w:t>
      </w:r>
      <w:r>
        <w:rPr>
          <w:rFonts w:asciiTheme="minorHAnsi" w:hAnsiTheme="minorHAnsi" w:cstheme="minorHAnsi"/>
          <w:b/>
          <w:sz w:val="20"/>
          <w:szCs w:val="20"/>
        </w:rPr>
        <w:t>8</w:t>
      </w:r>
      <w:r w:rsidRPr="00F0259A">
        <w:rPr>
          <w:rFonts w:asciiTheme="minorHAnsi" w:hAnsiTheme="minorHAnsi" w:cstheme="minorHAnsi"/>
          <w:b/>
          <w:sz w:val="20"/>
          <w:szCs w:val="20"/>
        </w:rPr>
        <w:tab/>
      </w:r>
      <w:r>
        <w:rPr>
          <w:rFonts w:asciiTheme="minorHAnsi" w:hAnsiTheme="minorHAnsi" w:cstheme="minorHAnsi"/>
          <w:b/>
          <w:sz w:val="20"/>
          <w:szCs w:val="20"/>
        </w:rPr>
        <w:t>PLAZO PARA VENTA DE BASES</w:t>
      </w:r>
    </w:p>
    <w:p w14:paraId="3EE90D0C" w14:textId="55B47D09" w:rsidR="00E520B3" w:rsidRPr="00DC40F8" w:rsidRDefault="00DC40F8" w:rsidP="007C6B36">
      <w:pPr>
        <w:spacing w:after="140"/>
        <w:jc w:val="both"/>
        <w:rPr>
          <w:rFonts w:asciiTheme="minorHAnsi" w:hAnsiTheme="minorHAnsi" w:cstheme="minorHAnsi"/>
          <w:sz w:val="20"/>
          <w:szCs w:val="20"/>
        </w:rPr>
      </w:pPr>
      <w:r w:rsidRPr="00DC40F8">
        <w:rPr>
          <w:rFonts w:asciiTheme="minorHAnsi" w:hAnsiTheme="minorHAnsi" w:cstheme="minorHAnsi"/>
          <w:sz w:val="20"/>
          <w:szCs w:val="20"/>
        </w:rPr>
        <w:t>Las</w:t>
      </w:r>
      <w:r w:rsidR="00E520B3" w:rsidRPr="00DC40F8">
        <w:rPr>
          <w:rFonts w:asciiTheme="minorHAnsi" w:hAnsiTheme="minorHAnsi" w:cstheme="minorHAnsi"/>
          <w:sz w:val="20"/>
          <w:szCs w:val="20"/>
        </w:rPr>
        <w:t xml:space="preserve"> bases </w:t>
      </w:r>
      <w:r w:rsidRPr="00DC40F8">
        <w:rPr>
          <w:rFonts w:asciiTheme="minorHAnsi" w:hAnsiTheme="minorHAnsi" w:cstheme="minorHAnsi"/>
          <w:sz w:val="20"/>
          <w:szCs w:val="20"/>
        </w:rPr>
        <w:t xml:space="preserve">para la presente licitación estarán disponibles desde el día de la invitación, </w:t>
      </w:r>
      <w:r w:rsidRPr="00DC40F8">
        <w:rPr>
          <w:rFonts w:asciiTheme="minorHAnsi" w:hAnsiTheme="minorHAnsi" w:cstheme="minorHAnsi"/>
          <w:b/>
          <w:sz w:val="20"/>
          <w:szCs w:val="20"/>
        </w:rPr>
        <w:t>13 de agosto de 2025</w:t>
      </w:r>
      <w:r w:rsidRPr="00DC40F8">
        <w:rPr>
          <w:rFonts w:asciiTheme="minorHAnsi" w:hAnsiTheme="minorHAnsi" w:cstheme="minorHAnsi"/>
          <w:sz w:val="20"/>
          <w:szCs w:val="20"/>
        </w:rPr>
        <w:t xml:space="preserve">, y hasta el día </w:t>
      </w:r>
      <w:r w:rsidRPr="00DC40F8">
        <w:rPr>
          <w:rFonts w:asciiTheme="minorHAnsi" w:hAnsiTheme="minorHAnsi" w:cstheme="minorHAnsi"/>
          <w:b/>
          <w:sz w:val="20"/>
          <w:szCs w:val="20"/>
        </w:rPr>
        <w:t>21 de agosto de 2025</w:t>
      </w:r>
      <w:r w:rsidRPr="00DC40F8">
        <w:rPr>
          <w:rFonts w:asciiTheme="minorHAnsi" w:hAnsiTheme="minorHAnsi" w:cstheme="minorHAnsi"/>
          <w:sz w:val="20"/>
          <w:szCs w:val="20"/>
        </w:rPr>
        <w:t xml:space="preserve">, para lo cual, los licitantes deberán acudir a efectuar el pago correspondiente de </w:t>
      </w:r>
      <w:r w:rsidRPr="00DC40F8">
        <w:rPr>
          <w:rFonts w:cstheme="minorHAnsi"/>
          <w:b/>
          <w:sz w:val="20"/>
          <w:szCs w:val="20"/>
        </w:rPr>
        <w:t>$8,336.00 (ocho mil trescientos treinta y seis pesos 00/100 M.N.)</w:t>
      </w:r>
      <w:r w:rsidRPr="00DC40F8">
        <w:rPr>
          <w:rFonts w:cstheme="minorHAnsi"/>
          <w:sz w:val="20"/>
          <w:szCs w:val="20"/>
        </w:rPr>
        <w:t>, más el impuesto al valor agregado vigente, en la Tesorería General de la UJED.</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291B52C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5E00F7">
        <w:rPr>
          <w:rFonts w:asciiTheme="minorHAnsi" w:hAnsiTheme="minorHAnsi" w:cstheme="minorHAnsi"/>
          <w:b/>
          <w:sz w:val="20"/>
          <w:szCs w:val="20"/>
        </w:rPr>
        <w:t>1</w:t>
      </w:r>
      <w:r w:rsidR="00DC40F8">
        <w:rPr>
          <w:rFonts w:asciiTheme="minorHAnsi" w:hAnsiTheme="minorHAnsi" w:cstheme="minorHAnsi"/>
          <w:b/>
          <w:sz w:val="20"/>
          <w:szCs w:val="20"/>
        </w:rPr>
        <w:t>3</w:t>
      </w:r>
      <w:r w:rsidR="005E00F7">
        <w:rPr>
          <w:rFonts w:asciiTheme="minorHAnsi" w:hAnsiTheme="minorHAnsi" w:cstheme="minorHAnsi"/>
          <w:b/>
          <w:sz w:val="20"/>
          <w:szCs w:val="20"/>
        </w:rPr>
        <w:t xml:space="preserve"> de </w:t>
      </w:r>
      <w:r w:rsidR="00DC40F8">
        <w:rPr>
          <w:rFonts w:asciiTheme="minorHAnsi" w:hAnsiTheme="minorHAnsi" w:cstheme="minorHAnsi"/>
          <w:b/>
          <w:sz w:val="20"/>
          <w:szCs w:val="20"/>
        </w:rPr>
        <w:t>agosto</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08B3" w14:textId="77777777" w:rsidR="006242B7" w:rsidRDefault="006242B7">
      <w:r>
        <w:separator/>
      </w:r>
    </w:p>
  </w:endnote>
  <w:endnote w:type="continuationSeparator" w:id="0">
    <w:p w14:paraId="7254D93B" w14:textId="77777777" w:rsidR="006242B7" w:rsidRDefault="0062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75C8F45E" w:rsidR="007C6B36" w:rsidRDefault="007C6B36"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Pr="001904C3">
      <w:rPr>
        <w:sz w:val="14"/>
        <w:szCs w:val="14"/>
      </w:rPr>
      <w:t xml:space="preserve"> </w:t>
    </w:r>
    <w:r w:rsidRPr="00F14E99">
      <w:rPr>
        <w:sz w:val="14"/>
        <w:szCs w:val="14"/>
      </w:rPr>
      <w:t xml:space="preserve">La presente hoja forma parte de las bases de </w:t>
    </w:r>
    <w:r>
      <w:rPr>
        <w:sz w:val="14"/>
        <w:szCs w:val="14"/>
      </w:rPr>
      <w:t>la L</w:t>
    </w:r>
    <w:r w:rsidRPr="00F14E99">
      <w:rPr>
        <w:sz w:val="14"/>
        <w:szCs w:val="14"/>
      </w:rPr>
      <w:t xml:space="preserve">icitación </w:t>
    </w:r>
    <w:r>
      <w:rPr>
        <w:sz w:val="14"/>
        <w:szCs w:val="14"/>
      </w:rPr>
      <w:t xml:space="preserve">por Invitación a cuando menos tres personas </w:t>
    </w:r>
    <w:r w:rsidRPr="00F14E99">
      <w:rPr>
        <w:sz w:val="14"/>
        <w:szCs w:val="14"/>
      </w:rPr>
      <w:t>No.</w:t>
    </w:r>
    <w:r>
      <w:rPr>
        <w:sz w:val="14"/>
        <w:szCs w:val="14"/>
      </w:rPr>
      <w:t xml:space="preserve"> UJED-FAM-IO-00</w:t>
    </w:r>
    <w:r w:rsidR="00327B87">
      <w:rPr>
        <w:sz w:val="14"/>
        <w:szCs w:val="14"/>
      </w:rPr>
      <w:t>5</w:t>
    </w:r>
    <w:r>
      <w:rPr>
        <w:sz w:val="14"/>
        <w:szCs w:val="14"/>
      </w:rPr>
      <w:t>-2025</w:t>
    </w:r>
  </w:p>
  <w:p w14:paraId="1C266937" w14:textId="77777777" w:rsidR="007C6B36" w:rsidRPr="00F14E99" w:rsidRDefault="007C6B36" w:rsidP="00E36013">
    <w:pPr>
      <w:pStyle w:val="Piedepgina"/>
      <w:jc w:val="right"/>
      <w:rPr>
        <w:sz w:val="14"/>
        <w:szCs w:val="14"/>
      </w:rPr>
    </w:pPr>
  </w:p>
  <w:p w14:paraId="089F1CE7" w14:textId="3A29CF78" w:rsidR="007C6B36" w:rsidRPr="00906146" w:rsidRDefault="007C6B36"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903CDA">
      <w:rPr>
        <w:noProof/>
        <w:sz w:val="16"/>
        <w:szCs w:val="16"/>
      </w:rPr>
      <w:t>15</w:t>
    </w:r>
    <w:r w:rsidRPr="00906146">
      <w:rPr>
        <w:sz w:val="16"/>
        <w:szCs w:val="16"/>
      </w:rPr>
      <w:fldChar w:fldCharType="end"/>
    </w:r>
    <w:r w:rsidRPr="00906146">
      <w:rPr>
        <w:sz w:val="16"/>
        <w:szCs w:val="16"/>
      </w:rPr>
      <w:t xml:space="preserve"> </w:t>
    </w:r>
  </w:p>
  <w:p w14:paraId="5B248D0D" w14:textId="77777777" w:rsidR="007C6B36" w:rsidRDefault="007C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9F0E" w14:textId="77777777" w:rsidR="006242B7" w:rsidRDefault="006242B7">
      <w:r>
        <w:separator/>
      </w:r>
    </w:p>
  </w:footnote>
  <w:footnote w:type="continuationSeparator" w:id="0">
    <w:p w14:paraId="0C0A466C" w14:textId="77777777" w:rsidR="006242B7" w:rsidRDefault="006242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7C6B36" w:rsidRDefault="007C6B36" w:rsidP="007C6B36">
    <w:pPr>
      <w:pStyle w:val="Encabezado"/>
      <w:rPr>
        <w:color w:val="1F497D"/>
      </w:rPr>
    </w:pPr>
  </w:p>
  <w:p w14:paraId="7D37AE75" w14:textId="77777777" w:rsidR="007C6B36" w:rsidRDefault="007C6B36" w:rsidP="009258C5">
    <w:pPr>
      <w:pStyle w:val="Encabezado"/>
      <w:rPr>
        <w:color w:val="1F497D"/>
      </w:rPr>
    </w:pPr>
  </w:p>
  <w:p w14:paraId="5C2CC78C" w14:textId="7F61C0EF" w:rsidR="007C6B36" w:rsidRDefault="007C6B36"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3BF3DC4F"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327B87">
                            <w:rPr>
                              <w:b/>
                              <w:sz w:val="18"/>
                              <w:szCs w:val="18"/>
                            </w:rPr>
                            <w:t>5</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3BF3DC4F"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327B87">
                      <w:rPr>
                        <w:b/>
                        <w:sz w:val="18"/>
                        <w:szCs w:val="18"/>
                      </w:rPr>
                      <w:t>5</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v:textbox>
              <w10:wrap anchorx="margin"/>
            </v:shape>
          </w:pict>
        </mc:Fallback>
      </mc:AlternateContent>
    </w:r>
    <w:r>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7C6B36" w:rsidRPr="006919C5" w:rsidRDefault="007C6B36"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4B3"/>
    <w:multiLevelType w:val="hybridMultilevel"/>
    <w:tmpl w:val="94B4391A"/>
    <w:lvl w:ilvl="0" w:tplc="D0746ABC">
      <w:start w:val="4"/>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0411F"/>
    <w:multiLevelType w:val="hybridMultilevel"/>
    <w:tmpl w:val="2B3E400A"/>
    <w:lvl w:ilvl="0" w:tplc="F2A2D5B6">
      <w:start w:val="1"/>
      <w:numFmt w:val="upperRoman"/>
      <w:lvlText w:val="%1)"/>
      <w:lvlJc w:val="left"/>
      <w:pPr>
        <w:ind w:left="228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9CB7D15"/>
    <w:multiLevelType w:val="hybridMultilevel"/>
    <w:tmpl w:val="7DA46E3E"/>
    <w:lvl w:ilvl="0" w:tplc="0E2ADB10">
      <w:start w:val="1"/>
      <w:numFmt w:val="upperRoman"/>
      <w:lvlText w:val="%1)"/>
      <w:lvlJc w:val="left"/>
      <w:pPr>
        <w:ind w:left="1004" w:hanging="360"/>
      </w:pPr>
      <w:rPr>
        <w:rFonts w:ascii="Calibri" w:hAnsi="Calibri"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15:restartNumberingAfterBreak="0">
    <w:nsid w:val="33452C59"/>
    <w:multiLevelType w:val="hybridMultilevel"/>
    <w:tmpl w:val="2D125B2A"/>
    <w:lvl w:ilvl="0" w:tplc="0832E15E">
      <w:start w:val="1"/>
      <w:numFmt w:val="upperLetter"/>
      <w:lvlText w:val="%1)"/>
      <w:lvlJc w:val="left"/>
      <w:pPr>
        <w:ind w:left="1854"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12"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3"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F1EE5"/>
    <w:multiLevelType w:val="hybridMultilevel"/>
    <w:tmpl w:val="5328BBE6"/>
    <w:lvl w:ilvl="0" w:tplc="74A2CB8C">
      <w:start w:val="1"/>
      <w:numFmt w:val="upperRoman"/>
      <w:lvlText w:val="%1)"/>
      <w:lvlJc w:val="left"/>
      <w:pPr>
        <w:ind w:left="720" w:hanging="360"/>
      </w:pPr>
      <w:rPr>
        <w:rFonts w:ascii="Calibri" w:hAnsi="Calibri" w:hint="default"/>
        <w:b/>
        <w:i w:val="0"/>
        <w:sz w:val="20"/>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22"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FB2850"/>
    <w:multiLevelType w:val="hybridMultilevel"/>
    <w:tmpl w:val="8BB62F00"/>
    <w:lvl w:ilvl="0" w:tplc="333875A0">
      <w:start w:val="1"/>
      <w:numFmt w:val="upperRoman"/>
      <w:lvlText w:val="%1)"/>
      <w:lvlJc w:val="left"/>
      <w:pPr>
        <w:ind w:left="1004" w:hanging="360"/>
      </w:pPr>
      <w:rPr>
        <w:rFonts w:ascii="Calibri" w:hAnsi="Calibri"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970673"/>
    <w:multiLevelType w:val="hybridMultilevel"/>
    <w:tmpl w:val="1960E3EC"/>
    <w:lvl w:ilvl="0" w:tplc="333875A0">
      <w:start w:val="1"/>
      <w:numFmt w:val="upperRoman"/>
      <w:lvlText w:val="%1)"/>
      <w:lvlJc w:val="left"/>
      <w:pPr>
        <w:ind w:left="720" w:hanging="360"/>
      </w:pPr>
      <w:rPr>
        <w:rFonts w:ascii="Calibri" w:hAnsi="Calibri"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22"/>
  </w:num>
  <w:num w:numId="5">
    <w:abstractNumId w:val="13"/>
  </w:num>
  <w:num w:numId="6">
    <w:abstractNumId w:val="21"/>
  </w:num>
  <w:num w:numId="7">
    <w:abstractNumId w:val="16"/>
  </w:num>
  <w:num w:numId="8">
    <w:abstractNumId w:val="20"/>
  </w:num>
  <w:num w:numId="9">
    <w:abstractNumId w:val="25"/>
  </w:num>
  <w:num w:numId="10">
    <w:abstractNumId w:val="8"/>
  </w:num>
  <w:num w:numId="11">
    <w:abstractNumId w:val="27"/>
  </w:num>
  <w:num w:numId="12">
    <w:abstractNumId w:val="5"/>
  </w:num>
  <w:num w:numId="13">
    <w:abstractNumId w:val="2"/>
  </w:num>
  <w:num w:numId="14">
    <w:abstractNumId w:val="9"/>
  </w:num>
  <w:num w:numId="15">
    <w:abstractNumId w:val="28"/>
  </w:num>
  <w:num w:numId="16">
    <w:abstractNumId w:val="11"/>
  </w:num>
  <w:num w:numId="17">
    <w:abstractNumId w:val="14"/>
  </w:num>
  <w:num w:numId="18">
    <w:abstractNumId w:val="23"/>
  </w:num>
  <w:num w:numId="19">
    <w:abstractNumId w:val="12"/>
  </w:num>
  <w:num w:numId="20">
    <w:abstractNumId w:val="1"/>
  </w:num>
  <w:num w:numId="21">
    <w:abstractNumId w:val="29"/>
  </w:num>
  <w:num w:numId="22">
    <w:abstractNumId w:val="18"/>
  </w:num>
  <w:num w:numId="23">
    <w:abstractNumId w:val="17"/>
  </w:num>
  <w:num w:numId="24">
    <w:abstractNumId w:val="6"/>
  </w:num>
  <w:num w:numId="25">
    <w:abstractNumId w:val="26"/>
  </w:num>
  <w:num w:numId="26">
    <w:abstractNumId w:val="19"/>
  </w:num>
  <w:num w:numId="27">
    <w:abstractNumId w:val="30"/>
  </w:num>
  <w:num w:numId="28">
    <w:abstractNumId w:val="0"/>
  </w:num>
  <w:num w:numId="29">
    <w:abstractNumId w:val="3"/>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17CA"/>
    <w:rsid w:val="00016D79"/>
    <w:rsid w:val="000208A4"/>
    <w:rsid w:val="000226A1"/>
    <w:rsid w:val="00025CC1"/>
    <w:rsid w:val="000339DB"/>
    <w:rsid w:val="000377A4"/>
    <w:rsid w:val="00043812"/>
    <w:rsid w:val="00044EDC"/>
    <w:rsid w:val="00052017"/>
    <w:rsid w:val="00060BF1"/>
    <w:rsid w:val="0006412B"/>
    <w:rsid w:val="00067B0E"/>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30DD"/>
    <w:rsid w:val="00124028"/>
    <w:rsid w:val="0012405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430E"/>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F05B5"/>
    <w:rsid w:val="002F32A8"/>
    <w:rsid w:val="003011DD"/>
    <w:rsid w:val="0031677D"/>
    <w:rsid w:val="003211ED"/>
    <w:rsid w:val="00324EC3"/>
    <w:rsid w:val="003268BA"/>
    <w:rsid w:val="00327B87"/>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0885"/>
    <w:rsid w:val="003F7431"/>
    <w:rsid w:val="00403CA7"/>
    <w:rsid w:val="00423996"/>
    <w:rsid w:val="00431EC1"/>
    <w:rsid w:val="00436899"/>
    <w:rsid w:val="00441FE0"/>
    <w:rsid w:val="00445148"/>
    <w:rsid w:val="0045271C"/>
    <w:rsid w:val="004575C8"/>
    <w:rsid w:val="00457F93"/>
    <w:rsid w:val="00471F03"/>
    <w:rsid w:val="0047257D"/>
    <w:rsid w:val="00475605"/>
    <w:rsid w:val="00482517"/>
    <w:rsid w:val="00487B2D"/>
    <w:rsid w:val="00487F4A"/>
    <w:rsid w:val="00490F1C"/>
    <w:rsid w:val="004A41B8"/>
    <w:rsid w:val="004A56B1"/>
    <w:rsid w:val="004A5801"/>
    <w:rsid w:val="004B5C53"/>
    <w:rsid w:val="004C1F69"/>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17538"/>
    <w:rsid w:val="00521C6E"/>
    <w:rsid w:val="00522048"/>
    <w:rsid w:val="00522B2E"/>
    <w:rsid w:val="00526FB0"/>
    <w:rsid w:val="00533262"/>
    <w:rsid w:val="005359EF"/>
    <w:rsid w:val="0055213B"/>
    <w:rsid w:val="0057354F"/>
    <w:rsid w:val="00573B04"/>
    <w:rsid w:val="00583521"/>
    <w:rsid w:val="00590958"/>
    <w:rsid w:val="00595F80"/>
    <w:rsid w:val="005A350F"/>
    <w:rsid w:val="005B604A"/>
    <w:rsid w:val="005C635A"/>
    <w:rsid w:val="005C6C72"/>
    <w:rsid w:val="005E00F7"/>
    <w:rsid w:val="005E3E62"/>
    <w:rsid w:val="005E4CE2"/>
    <w:rsid w:val="005E6D81"/>
    <w:rsid w:val="005F1C0A"/>
    <w:rsid w:val="005F3021"/>
    <w:rsid w:val="005F4780"/>
    <w:rsid w:val="005F62E3"/>
    <w:rsid w:val="0060122D"/>
    <w:rsid w:val="00615EE5"/>
    <w:rsid w:val="00617D6D"/>
    <w:rsid w:val="00622C09"/>
    <w:rsid w:val="006242B7"/>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174"/>
    <w:rsid w:val="0072698C"/>
    <w:rsid w:val="00727C50"/>
    <w:rsid w:val="007450D5"/>
    <w:rsid w:val="007471E0"/>
    <w:rsid w:val="00766B2A"/>
    <w:rsid w:val="007701C3"/>
    <w:rsid w:val="0078266A"/>
    <w:rsid w:val="0078306F"/>
    <w:rsid w:val="007853DD"/>
    <w:rsid w:val="00786D93"/>
    <w:rsid w:val="007A5F9C"/>
    <w:rsid w:val="007C6846"/>
    <w:rsid w:val="007C6B36"/>
    <w:rsid w:val="007C7A17"/>
    <w:rsid w:val="007D05BD"/>
    <w:rsid w:val="007D339D"/>
    <w:rsid w:val="007D5883"/>
    <w:rsid w:val="007E69CB"/>
    <w:rsid w:val="007E7581"/>
    <w:rsid w:val="007F5A2A"/>
    <w:rsid w:val="008118E1"/>
    <w:rsid w:val="00811EF0"/>
    <w:rsid w:val="008208D9"/>
    <w:rsid w:val="00825DCB"/>
    <w:rsid w:val="00830E74"/>
    <w:rsid w:val="0084261A"/>
    <w:rsid w:val="00851901"/>
    <w:rsid w:val="008562EF"/>
    <w:rsid w:val="00871DD9"/>
    <w:rsid w:val="0087526E"/>
    <w:rsid w:val="00876821"/>
    <w:rsid w:val="00890937"/>
    <w:rsid w:val="00891C59"/>
    <w:rsid w:val="0089397C"/>
    <w:rsid w:val="008A539E"/>
    <w:rsid w:val="008B3F2D"/>
    <w:rsid w:val="008B7D3D"/>
    <w:rsid w:val="008C6D9D"/>
    <w:rsid w:val="008D075C"/>
    <w:rsid w:val="008D28B2"/>
    <w:rsid w:val="008D2984"/>
    <w:rsid w:val="008E3405"/>
    <w:rsid w:val="008F03E5"/>
    <w:rsid w:val="008F3891"/>
    <w:rsid w:val="008F3955"/>
    <w:rsid w:val="008F5234"/>
    <w:rsid w:val="00903CDA"/>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A6787"/>
    <w:rsid w:val="009B1021"/>
    <w:rsid w:val="009B11BF"/>
    <w:rsid w:val="009B6740"/>
    <w:rsid w:val="009C366C"/>
    <w:rsid w:val="009C58D0"/>
    <w:rsid w:val="009D03A6"/>
    <w:rsid w:val="009E30B9"/>
    <w:rsid w:val="009F129A"/>
    <w:rsid w:val="009F49EB"/>
    <w:rsid w:val="009F6D55"/>
    <w:rsid w:val="00A03468"/>
    <w:rsid w:val="00A069CB"/>
    <w:rsid w:val="00A078DD"/>
    <w:rsid w:val="00A11ED9"/>
    <w:rsid w:val="00A150BE"/>
    <w:rsid w:val="00A151ED"/>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5AD1"/>
    <w:rsid w:val="00B47A3B"/>
    <w:rsid w:val="00B51E21"/>
    <w:rsid w:val="00B53C4E"/>
    <w:rsid w:val="00B54B19"/>
    <w:rsid w:val="00B64DD0"/>
    <w:rsid w:val="00B7156E"/>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79F"/>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CF7CBD"/>
    <w:rsid w:val="00D04C2A"/>
    <w:rsid w:val="00D060A3"/>
    <w:rsid w:val="00D1209C"/>
    <w:rsid w:val="00D17217"/>
    <w:rsid w:val="00D2571D"/>
    <w:rsid w:val="00D25B39"/>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0F8"/>
    <w:rsid w:val="00DC41EF"/>
    <w:rsid w:val="00DD0C49"/>
    <w:rsid w:val="00DD5E2F"/>
    <w:rsid w:val="00DE40DD"/>
    <w:rsid w:val="00DE7909"/>
    <w:rsid w:val="00DE7AB1"/>
    <w:rsid w:val="00DF0D5B"/>
    <w:rsid w:val="00DF1DC8"/>
    <w:rsid w:val="00E04FC2"/>
    <w:rsid w:val="00E10D5E"/>
    <w:rsid w:val="00E141D6"/>
    <w:rsid w:val="00E21816"/>
    <w:rsid w:val="00E226E6"/>
    <w:rsid w:val="00E23DC1"/>
    <w:rsid w:val="00E30B87"/>
    <w:rsid w:val="00E35636"/>
    <w:rsid w:val="00E36013"/>
    <w:rsid w:val="00E44EE6"/>
    <w:rsid w:val="00E520B3"/>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0D53"/>
    <w:rsid w:val="00EF45A5"/>
    <w:rsid w:val="00EF5609"/>
    <w:rsid w:val="00EF7260"/>
    <w:rsid w:val="00F01501"/>
    <w:rsid w:val="00F015BC"/>
    <w:rsid w:val="00F07C42"/>
    <w:rsid w:val="00F3019A"/>
    <w:rsid w:val="00F31351"/>
    <w:rsid w:val="00F327A5"/>
    <w:rsid w:val="00F4058D"/>
    <w:rsid w:val="00F44500"/>
    <w:rsid w:val="00F46762"/>
    <w:rsid w:val="00F5027C"/>
    <w:rsid w:val="00F537CD"/>
    <w:rsid w:val="00F53E4E"/>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D45B-0E03-44AF-B672-EBB09B35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15</Pages>
  <Words>6756</Words>
  <Characters>37158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220</cp:revision>
  <cp:lastPrinted>2025-06-06T15:49:00Z</cp:lastPrinted>
  <dcterms:created xsi:type="dcterms:W3CDTF">2017-06-12T18:53:00Z</dcterms:created>
  <dcterms:modified xsi:type="dcterms:W3CDTF">2025-08-12T20:21:00Z</dcterms:modified>
</cp:coreProperties>
</file>