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308F2A32" w:rsidR="00E36013" w:rsidRPr="00E04FC2" w:rsidRDefault="008C3891" w:rsidP="00044EDC">
      <w:pPr>
        <w:spacing w:after="120"/>
        <w:jc w:val="both"/>
        <w:rPr>
          <w:rFonts w:asciiTheme="minorHAnsi" w:hAnsiTheme="minorHAnsi"/>
          <w:b/>
          <w:sz w:val="20"/>
          <w:szCs w:val="20"/>
        </w:rPr>
      </w:pPr>
      <w:bookmarkStart w:id="0" w:name="_GoBack"/>
      <w:bookmarkEnd w:id="0"/>
      <w:r w:rsidRPr="008C3891">
        <w:rPr>
          <w:rFonts w:cstheme="minorHAnsi"/>
          <w:b/>
        </w:rPr>
        <w:t xml:space="preserve">CONSTRUCCIÓN DE </w:t>
      </w:r>
      <w:r w:rsidR="008A040A">
        <w:rPr>
          <w:rFonts w:cstheme="minorHAnsi"/>
          <w:b/>
        </w:rPr>
        <w:t>QUINTA</w:t>
      </w:r>
      <w:r w:rsidRPr="008C3891">
        <w:rPr>
          <w:rFonts w:cstheme="minorHAnsi"/>
          <w:b/>
        </w:rPr>
        <w:t xml:space="preserve"> ETAPA DE</w:t>
      </w:r>
      <w:r w:rsidR="008A040A">
        <w:rPr>
          <w:rFonts w:cstheme="minorHAnsi"/>
          <w:b/>
        </w:rPr>
        <w:t>L ARCHIVO GENERAL DE LA UJED</w:t>
      </w:r>
    </w:p>
    <w:p w14:paraId="57D4C5B0" w14:textId="5F6BEAE2"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29BB1399" w:rsidR="00DC1AEF" w:rsidRPr="008C3891" w:rsidRDefault="008C3891" w:rsidP="00FF5B37">
      <w:pPr>
        <w:spacing w:after="120"/>
        <w:ind w:left="426"/>
        <w:jc w:val="both"/>
        <w:rPr>
          <w:rFonts w:asciiTheme="minorHAnsi" w:hAnsiTheme="minorHAnsi" w:cs="Arial"/>
          <w:bCs/>
          <w:sz w:val="20"/>
          <w:szCs w:val="20"/>
        </w:rPr>
      </w:pPr>
      <w:r w:rsidRPr="008C3891">
        <w:rPr>
          <w:rFonts w:cstheme="minorHAnsi"/>
          <w:sz w:val="20"/>
          <w:szCs w:val="20"/>
        </w:rPr>
        <w:t xml:space="preserve">Construcción de </w:t>
      </w:r>
      <w:r w:rsidR="008A040A">
        <w:rPr>
          <w:rFonts w:cstheme="minorHAnsi"/>
          <w:sz w:val="20"/>
          <w:szCs w:val="20"/>
        </w:rPr>
        <w:t>Quinta</w:t>
      </w:r>
      <w:r w:rsidRPr="008C3891">
        <w:rPr>
          <w:rFonts w:cstheme="minorHAnsi"/>
          <w:sz w:val="20"/>
          <w:szCs w:val="20"/>
        </w:rPr>
        <w:t xml:space="preserve"> Etapa de</w:t>
      </w:r>
      <w:r w:rsidR="008A040A">
        <w:rPr>
          <w:rFonts w:cstheme="minorHAnsi"/>
          <w:sz w:val="20"/>
          <w:szCs w:val="20"/>
        </w:rPr>
        <w:t>l</w:t>
      </w:r>
      <w:r w:rsidRPr="008C3891">
        <w:rPr>
          <w:rFonts w:cstheme="minorHAnsi"/>
          <w:sz w:val="20"/>
          <w:szCs w:val="20"/>
        </w:rPr>
        <w:t xml:space="preserve"> </w:t>
      </w:r>
      <w:r w:rsidR="008A040A">
        <w:rPr>
          <w:rFonts w:cstheme="minorHAnsi"/>
          <w:sz w:val="20"/>
          <w:szCs w:val="20"/>
        </w:rPr>
        <w:t>Archivo General de la UJED</w:t>
      </w:r>
      <w:r w:rsidR="0033087A" w:rsidRPr="008C3891">
        <w:rPr>
          <w:rFonts w:asciiTheme="minorHAnsi" w:hAnsiTheme="minorHAnsi" w:cs="Arial"/>
          <w:bCs/>
          <w:sz w:val="20"/>
          <w:szCs w:val="20"/>
        </w:rPr>
        <w:t xml:space="preserve">, </w:t>
      </w:r>
      <w:r w:rsidR="008A040A">
        <w:rPr>
          <w:rFonts w:asciiTheme="minorHAnsi" w:hAnsiTheme="minorHAnsi" w:cs="Arial"/>
          <w:bCs/>
          <w:sz w:val="20"/>
          <w:szCs w:val="20"/>
        </w:rPr>
        <w:t>ubicado</w:t>
      </w:r>
      <w:r w:rsidR="00FF5B37" w:rsidRPr="008C3891">
        <w:rPr>
          <w:rFonts w:asciiTheme="minorHAnsi" w:hAnsiTheme="minorHAnsi" w:cs="Arial"/>
          <w:bCs/>
          <w:sz w:val="20"/>
          <w:szCs w:val="20"/>
        </w:rPr>
        <w:t xml:space="preserve"> </w:t>
      </w:r>
      <w:r w:rsidR="008A040A" w:rsidRPr="00462B70">
        <w:rPr>
          <w:rFonts w:asciiTheme="minorHAnsi" w:hAnsiTheme="minorHAnsi" w:cs="Arial"/>
          <w:bCs/>
          <w:sz w:val="20"/>
          <w:szCs w:val="20"/>
        </w:rPr>
        <w:t xml:space="preserve">en </w:t>
      </w:r>
      <w:r w:rsidR="008A040A">
        <w:rPr>
          <w:rFonts w:asciiTheme="minorHAnsi" w:hAnsiTheme="minorHAnsi" w:cs="Arial"/>
          <w:bCs/>
          <w:sz w:val="20"/>
          <w:szCs w:val="20"/>
        </w:rPr>
        <w:t>Av. Ferrocarril S/N</w:t>
      </w:r>
      <w:r w:rsidR="008A040A" w:rsidRPr="00462B70">
        <w:rPr>
          <w:rFonts w:asciiTheme="minorHAnsi" w:hAnsiTheme="minorHAnsi" w:cs="Arial"/>
          <w:bCs/>
          <w:sz w:val="20"/>
          <w:szCs w:val="20"/>
        </w:rPr>
        <w:t xml:space="preserve">, </w:t>
      </w:r>
      <w:r w:rsidR="008A040A">
        <w:rPr>
          <w:rFonts w:asciiTheme="minorHAnsi" w:hAnsiTheme="minorHAnsi" w:cs="Arial"/>
          <w:bCs/>
          <w:sz w:val="20"/>
          <w:szCs w:val="20"/>
        </w:rPr>
        <w:t xml:space="preserve">frente a la Gerencia Estatal Durango de la Comisión Nacional Forestal, </w:t>
      </w:r>
      <w:r w:rsidR="008A040A" w:rsidRPr="00462B70">
        <w:rPr>
          <w:rFonts w:asciiTheme="minorHAnsi" w:hAnsiTheme="minorHAnsi" w:cs="Arial"/>
          <w:bCs/>
          <w:sz w:val="20"/>
          <w:szCs w:val="20"/>
        </w:rPr>
        <w:t>Durango, Dgo</w:t>
      </w:r>
      <w:r w:rsidR="00E04FC2" w:rsidRPr="008C3891">
        <w:rPr>
          <w:rFonts w:cs="Arial"/>
          <w:bCs/>
          <w:sz w:val="20"/>
          <w:szCs w:val="20"/>
        </w:rPr>
        <w:t>.</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147B0A53" w:rsidR="00E36013" w:rsidRPr="008C3891" w:rsidRDefault="001904C3" w:rsidP="00E91C02">
      <w:pPr>
        <w:pStyle w:val="Prrafodelista"/>
        <w:spacing w:after="120"/>
        <w:ind w:left="426"/>
        <w:contextualSpacing w:val="0"/>
        <w:jc w:val="both"/>
        <w:rPr>
          <w:rFonts w:asciiTheme="minorHAnsi" w:hAnsiTheme="minorHAnsi"/>
          <w:sz w:val="20"/>
          <w:szCs w:val="20"/>
        </w:rPr>
      </w:pPr>
      <w:r w:rsidRPr="008C3891">
        <w:rPr>
          <w:rFonts w:asciiTheme="minorHAnsi" w:hAnsiTheme="minorHAnsi"/>
          <w:sz w:val="20"/>
          <w:szCs w:val="20"/>
        </w:rPr>
        <w:t>Se aplicará</w:t>
      </w:r>
      <w:r w:rsidR="008A040A">
        <w:rPr>
          <w:rFonts w:asciiTheme="minorHAnsi" w:hAnsiTheme="minorHAnsi"/>
          <w:sz w:val="20"/>
          <w:szCs w:val="20"/>
        </w:rPr>
        <w:t>n</w:t>
      </w:r>
      <w:r w:rsidR="008C3891" w:rsidRPr="008C3891">
        <w:rPr>
          <w:rFonts w:cstheme="minorHAnsi"/>
          <w:sz w:val="20"/>
          <w:szCs w:val="20"/>
        </w:rPr>
        <w:t xml:space="preserve"> recursos Remanentes del Fondo de Aportaciones Múltiples (FAM), ejercicio 202</w:t>
      </w:r>
      <w:r w:rsidR="008A040A">
        <w:rPr>
          <w:rFonts w:cstheme="minorHAnsi"/>
          <w:sz w:val="20"/>
          <w:szCs w:val="20"/>
        </w:rPr>
        <w:t>3</w:t>
      </w:r>
      <w:r w:rsidRPr="008C3891">
        <w:rPr>
          <w:rFonts w:asciiTheme="minorHAnsi" w:hAnsiTheme="minorHAnsi"/>
          <w:sz w:val="20"/>
          <w:szCs w:val="20"/>
        </w:rPr>
        <w:t>.</w:t>
      </w:r>
      <w:r w:rsidR="00E36013" w:rsidRPr="008C3891">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8C3891">
        <w:rPr>
          <w:rFonts w:asciiTheme="minorHAnsi" w:hAnsiTheme="minorHAnsi"/>
          <w:sz w:val="20"/>
          <w:szCs w:val="20"/>
        </w:rPr>
        <w:t>El presente procedimiento será presencial, por lo que no se recibirán ofertas por servicios postal, mensajería</w:t>
      </w:r>
      <w:r w:rsidRPr="005E3E62">
        <w:rPr>
          <w:rFonts w:asciiTheme="minorHAnsi" w:hAnsiTheme="minorHAnsi"/>
          <w:sz w:val="20"/>
          <w:szCs w:val="20"/>
        </w:rPr>
        <w:t xml:space="preserve">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1EDEB51F"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304A0D">
        <w:rPr>
          <w:rFonts w:asciiTheme="minorHAnsi" w:hAnsiTheme="minorHAnsi" w:cs="Arial"/>
          <w:b/>
          <w:sz w:val="20"/>
          <w:szCs w:val="20"/>
        </w:rPr>
        <w:t>23</w:t>
      </w:r>
      <w:r w:rsidR="00AF5143">
        <w:rPr>
          <w:rFonts w:asciiTheme="minorHAnsi" w:hAnsiTheme="minorHAnsi" w:cs="Arial"/>
          <w:b/>
          <w:sz w:val="20"/>
          <w:szCs w:val="20"/>
        </w:rPr>
        <w:t xml:space="preserve"> de </w:t>
      </w:r>
      <w:r w:rsidR="008A040A">
        <w:rPr>
          <w:rFonts w:asciiTheme="minorHAnsi" w:hAnsiTheme="minorHAnsi" w:cs="Arial"/>
          <w:b/>
          <w:sz w:val="20"/>
          <w:szCs w:val="20"/>
        </w:rPr>
        <w:t>septiembre</w:t>
      </w:r>
      <w:r w:rsid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El plazo máximo de ejecución de los trabajos será de </w:t>
      </w:r>
      <w:r w:rsidR="00304A0D">
        <w:rPr>
          <w:rFonts w:asciiTheme="minorHAnsi" w:hAnsiTheme="minorHAnsi" w:cs="Arial"/>
          <w:b/>
          <w:sz w:val="20"/>
          <w:szCs w:val="20"/>
        </w:rPr>
        <w:t>69</w:t>
      </w:r>
      <w:r w:rsidRPr="00EB2CEF">
        <w:rPr>
          <w:rFonts w:asciiTheme="minorHAnsi" w:hAnsiTheme="minorHAnsi" w:cs="Arial"/>
          <w:sz w:val="20"/>
          <w:szCs w:val="20"/>
        </w:rPr>
        <w:t xml:space="preserve"> días naturales a partir de esta fecha, lo que nos da como fecha de terminación el día </w:t>
      </w:r>
      <w:r w:rsidR="00E04FC2">
        <w:rPr>
          <w:rFonts w:asciiTheme="minorHAnsi" w:hAnsiTheme="minorHAnsi" w:cs="Arial"/>
          <w:b/>
          <w:sz w:val="20"/>
          <w:szCs w:val="20"/>
        </w:rPr>
        <w:t>3</w:t>
      </w:r>
      <w:r w:rsidR="00E91C02">
        <w:rPr>
          <w:rFonts w:asciiTheme="minorHAnsi" w:hAnsiTheme="minorHAnsi" w:cs="Arial"/>
          <w:b/>
          <w:sz w:val="20"/>
          <w:szCs w:val="20"/>
        </w:rPr>
        <w:t>0</w:t>
      </w:r>
      <w:r w:rsidR="00AB121A" w:rsidRPr="00AF5143">
        <w:rPr>
          <w:rFonts w:asciiTheme="minorHAnsi" w:hAnsiTheme="minorHAnsi" w:cs="Arial"/>
          <w:b/>
          <w:sz w:val="20"/>
          <w:szCs w:val="20"/>
        </w:rPr>
        <w:t xml:space="preserve"> de </w:t>
      </w:r>
      <w:r w:rsidR="00E04FC2">
        <w:rPr>
          <w:rFonts w:asciiTheme="minorHAnsi" w:hAnsiTheme="minorHAnsi" w:cs="Arial"/>
          <w:b/>
          <w:sz w:val="20"/>
          <w:szCs w:val="20"/>
        </w:rPr>
        <w:t>noviem</w:t>
      </w:r>
      <w:r w:rsidR="00E91C02">
        <w:rPr>
          <w:rFonts w:asciiTheme="minorHAnsi" w:hAnsiTheme="minorHAnsi" w:cs="Arial"/>
          <w:b/>
          <w:sz w:val="20"/>
          <w:szCs w:val="20"/>
        </w:rPr>
        <w:t>bre</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0BCC164D"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2F805167" w14:textId="77777777" w:rsidR="008A040A" w:rsidRDefault="008A040A" w:rsidP="007450D5">
      <w:pPr>
        <w:pStyle w:val="Prrafodelista"/>
        <w:autoSpaceDE w:val="0"/>
        <w:autoSpaceDN w:val="0"/>
        <w:adjustRightInd w:val="0"/>
        <w:spacing w:after="120"/>
        <w:ind w:left="284"/>
        <w:contextualSpacing w:val="0"/>
        <w:jc w:val="both"/>
        <w:rPr>
          <w:rFonts w:asciiTheme="minorHAnsi" w:hAnsiTheme="minorHAnsi"/>
          <w:sz w:val="20"/>
          <w:szCs w:val="20"/>
        </w:rPr>
      </w:pP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1ED986BA"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422DBB">
        <w:rPr>
          <w:rFonts w:asciiTheme="minorHAnsi" w:hAnsiTheme="minorHAnsi" w:cs="Arial"/>
          <w:b/>
          <w:sz w:val="20"/>
          <w:szCs w:val="20"/>
        </w:rPr>
        <w:t>2</w:t>
      </w:r>
      <w:r w:rsidR="008A040A">
        <w:rPr>
          <w:rFonts w:asciiTheme="minorHAnsi" w:hAnsiTheme="minorHAnsi" w:cs="Arial"/>
          <w:b/>
          <w:sz w:val="20"/>
          <w:szCs w:val="20"/>
        </w:rPr>
        <w:t>9</w:t>
      </w:r>
      <w:r w:rsidR="00AB121A" w:rsidRPr="0060122D">
        <w:rPr>
          <w:rFonts w:asciiTheme="minorHAnsi" w:hAnsiTheme="minorHAnsi" w:cs="Arial"/>
          <w:b/>
          <w:sz w:val="20"/>
          <w:szCs w:val="20"/>
        </w:rPr>
        <w:t xml:space="preserve"> de </w:t>
      </w:r>
      <w:r w:rsidR="008A040A">
        <w:rPr>
          <w:rFonts w:asciiTheme="minorHAnsi" w:hAnsiTheme="minorHAnsi" w:cs="Arial"/>
          <w:b/>
          <w:sz w:val="20"/>
          <w:szCs w:val="20"/>
        </w:rPr>
        <w:t>agosto</w:t>
      </w:r>
      <w:r w:rsidR="00AB121A" w:rsidRPr="0060122D">
        <w:rPr>
          <w:rFonts w:asciiTheme="minorHAnsi" w:hAnsiTheme="minorHAnsi" w:cs="Arial"/>
          <w:b/>
          <w:sz w:val="20"/>
          <w:szCs w:val="20"/>
        </w:rPr>
        <w:t xml:space="preserve"> de 202</w:t>
      </w:r>
      <w:r w:rsidR="00E91C02">
        <w:rPr>
          <w:rFonts w:asciiTheme="minorHAnsi" w:hAnsiTheme="minorHAnsi" w:cs="Arial"/>
          <w:b/>
          <w:sz w:val="20"/>
          <w:szCs w:val="20"/>
        </w:rPr>
        <w:t>4</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w:t>
      </w:r>
      <w:r w:rsidR="0033087A" w:rsidRPr="00E91C02">
        <w:rPr>
          <w:rFonts w:asciiTheme="minorHAnsi" w:hAnsiTheme="minorHAnsi" w:cs="Arial"/>
          <w:sz w:val="20"/>
          <w:szCs w:val="20"/>
        </w:rPr>
        <w:t>instalaciones del</w:t>
      </w:r>
      <w:r w:rsidR="00307DFE">
        <w:rPr>
          <w:rFonts w:asciiTheme="minorHAnsi" w:hAnsiTheme="minorHAnsi" w:cs="Arial"/>
          <w:sz w:val="20"/>
          <w:szCs w:val="20"/>
        </w:rPr>
        <w:t xml:space="preserve"> Archivo General de la UJED</w:t>
      </w:r>
      <w:r w:rsidR="008C3891">
        <w:rPr>
          <w:rFonts w:asciiTheme="minorHAnsi" w:hAnsiTheme="minorHAnsi" w:cs="Arial"/>
          <w:bCs/>
          <w:sz w:val="20"/>
          <w:szCs w:val="20"/>
        </w:rPr>
        <w:t xml:space="preserve">, </w:t>
      </w:r>
      <w:r w:rsidR="00307DFE">
        <w:rPr>
          <w:rFonts w:asciiTheme="minorHAnsi" w:hAnsiTheme="minorHAnsi" w:cs="Arial"/>
          <w:bCs/>
          <w:sz w:val="20"/>
          <w:szCs w:val="20"/>
        </w:rPr>
        <w:t>ubicado</w:t>
      </w:r>
      <w:r w:rsidR="00307DFE" w:rsidRPr="008C3891">
        <w:rPr>
          <w:rFonts w:asciiTheme="minorHAnsi" w:hAnsiTheme="minorHAnsi" w:cs="Arial"/>
          <w:bCs/>
          <w:sz w:val="20"/>
          <w:szCs w:val="20"/>
        </w:rPr>
        <w:t xml:space="preserve"> </w:t>
      </w:r>
      <w:r w:rsidR="00307DFE" w:rsidRPr="00462B70">
        <w:rPr>
          <w:rFonts w:asciiTheme="minorHAnsi" w:hAnsiTheme="minorHAnsi" w:cs="Arial"/>
          <w:bCs/>
          <w:sz w:val="20"/>
          <w:szCs w:val="20"/>
        </w:rPr>
        <w:t xml:space="preserve">en </w:t>
      </w:r>
      <w:r w:rsidR="00307DFE">
        <w:rPr>
          <w:rFonts w:asciiTheme="minorHAnsi" w:hAnsiTheme="minorHAnsi" w:cs="Arial"/>
          <w:bCs/>
          <w:sz w:val="20"/>
          <w:szCs w:val="20"/>
        </w:rPr>
        <w:t>Av. Ferrocarril S/N</w:t>
      </w:r>
      <w:r w:rsidR="00307DFE" w:rsidRPr="00462B70">
        <w:rPr>
          <w:rFonts w:asciiTheme="minorHAnsi" w:hAnsiTheme="minorHAnsi" w:cs="Arial"/>
          <w:bCs/>
          <w:sz w:val="20"/>
          <w:szCs w:val="20"/>
        </w:rPr>
        <w:t xml:space="preserve">, </w:t>
      </w:r>
      <w:r w:rsidR="00307DFE">
        <w:rPr>
          <w:rFonts w:asciiTheme="minorHAnsi" w:hAnsiTheme="minorHAnsi" w:cs="Arial"/>
          <w:bCs/>
          <w:sz w:val="20"/>
          <w:szCs w:val="20"/>
        </w:rPr>
        <w:t xml:space="preserve">frente a la Gerencia Estatal Durango de la Comisión Nacional Forestal, </w:t>
      </w:r>
      <w:r w:rsidR="00307DFE" w:rsidRPr="00462B70">
        <w:rPr>
          <w:rFonts w:asciiTheme="minorHAnsi" w:hAnsiTheme="minorHAnsi" w:cs="Arial"/>
          <w:bCs/>
          <w:sz w:val="20"/>
          <w:szCs w:val="20"/>
        </w:rPr>
        <w:t>Durango,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3AB9A4A5"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422DBB">
        <w:rPr>
          <w:rFonts w:asciiTheme="minorHAnsi" w:hAnsiTheme="minorHAnsi" w:cs="Arial"/>
          <w:b/>
          <w:bCs/>
          <w:sz w:val="20"/>
          <w:szCs w:val="20"/>
        </w:rPr>
        <w:t>02</w:t>
      </w:r>
      <w:r w:rsidR="00A837CE" w:rsidRPr="00AF5143">
        <w:rPr>
          <w:rFonts w:asciiTheme="minorHAnsi" w:hAnsiTheme="minorHAnsi" w:cs="Arial"/>
          <w:b/>
          <w:sz w:val="20"/>
          <w:szCs w:val="20"/>
        </w:rPr>
        <w:t xml:space="preserve"> de </w:t>
      </w:r>
      <w:r w:rsidR="00422DBB">
        <w:rPr>
          <w:rFonts w:asciiTheme="minorHAnsi" w:hAnsiTheme="minorHAnsi" w:cs="Arial"/>
          <w:b/>
          <w:sz w:val="20"/>
          <w:szCs w:val="20"/>
        </w:rPr>
        <w:t>septiembre</w:t>
      </w:r>
      <w:r w:rsidR="00A837CE" w:rsidRP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5655ECF3"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422DBB">
        <w:rPr>
          <w:rFonts w:asciiTheme="minorHAnsi" w:hAnsiTheme="minorHAnsi" w:cs="Arial"/>
          <w:b/>
          <w:bCs/>
          <w:sz w:val="20"/>
          <w:szCs w:val="20"/>
        </w:rPr>
        <w:t>10</w:t>
      </w:r>
      <w:r w:rsidR="00AF5143" w:rsidRPr="00AF5143">
        <w:rPr>
          <w:rFonts w:asciiTheme="minorHAnsi" w:hAnsiTheme="minorHAnsi" w:cs="Arial"/>
          <w:b/>
          <w:bCs/>
          <w:sz w:val="20"/>
          <w:szCs w:val="20"/>
        </w:rPr>
        <w:t xml:space="preserve"> de </w:t>
      </w:r>
      <w:r w:rsidR="00422DBB">
        <w:rPr>
          <w:rFonts w:asciiTheme="minorHAnsi" w:hAnsiTheme="minorHAnsi" w:cs="Arial"/>
          <w:b/>
          <w:bCs/>
          <w:sz w:val="20"/>
          <w:szCs w:val="20"/>
        </w:rPr>
        <w:t>septiembre</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E91C02">
        <w:rPr>
          <w:rFonts w:asciiTheme="minorHAnsi" w:hAnsiTheme="minorHAnsi" w:cs="Arial"/>
          <w:b/>
          <w:sz w:val="20"/>
          <w:szCs w:val="20"/>
        </w:rPr>
        <w:t>4</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59558566"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422DBB">
        <w:rPr>
          <w:rFonts w:asciiTheme="minorHAnsi" w:hAnsiTheme="minorHAnsi" w:cs="Arial"/>
          <w:b/>
          <w:sz w:val="20"/>
          <w:szCs w:val="20"/>
        </w:rPr>
        <w:t>1</w:t>
      </w:r>
      <w:r w:rsidR="008C3891">
        <w:rPr>
          <w:rFonts w:asciiTheme="minorHAnsi" w:hAnsiTheme="minorHAnsi" w:cs="Arial"/>
          <w:b/>
          <w:sz w:val="20"/>
          <w:szCs w:val="20"/>
        </w:rPr>
        <w:t>7</w:t>
      </w:r>
      <w:r w:rsidR="00A837CE" w:rsidRPr="00AF5143">
        <w:rPr>
          <w:rFonts w:asciiTheme="minorHAnsi" w:hAnsiTheme="minorHAnsi" w:cs="Arial"/>
          <w:b/>
          <w:sz w:val="20"/>
          <w:szCs w:val="20"/>
        </w:rPr>
        <w:t xml:space="preserve"> de </w:t>
      </w:r>
      <w:r w:rsidR="00422DBB">
        <w:rPr>
          <w:rFonts w:asciiTheme="minorHAnsi" w:hAnsiTheme="minorHAnsi" w:cs="Arial"/>
          <w:b/>
          <w:sz w:val="20"/>
          <w:szCs w:val="20"/>
        </w:rPr>
        <w:t>septiembre</w:t>
      </w:r>
      <w:r w:rsidR="00A837CE" w:rsidRPr="00AF5143">
        <w:rPr>
          <w:rFonts w:asciiTheme="minorHAnsi" w:hAnsiTheme="minorHAnsi" w:cs="Arial"/>
          <w:b/>
          <w:sz w:val="20"/>
          <w:szCs w:val="20"/>
        </w:rPr>
        <w:t xml:space="preserve"> de 202</w:t>
      </w:r>
      <w:r w:rsidR="00510782">
        <w:rPr>
          <w:rFonts w:asciiTheme="minorHAnsi" w:hAnsiTheme="minorHAnsi" w:cs="Arial"/>
          <w:b/>
          <w:sz w:val="20"/>
          <w:szCs w:val="20"/>
        </w:rPr>
        <w:t>4</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w:t>
      </w:r>
      <w:r w:rsidRPr="00F0259A">
        <w:rPr>
          <w:rFonts w:asciiTheme="minorHAnsi" w:hAnsiTheme="minorHAnsi" w:cs="Arial"/>
          <w:sz w:val="20"/>
          <w:szCs w:val="20"/>
        </w:rPr>
        <w:lastRenderedPageBreak/>
        <w:t>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4558334F"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E60998">
        <w:rPr>
          <w:rFonts w:asciiTheme="minorHAnsi" w:hAnsiTheme="minorHAnsi" w:cs="Arial"/>
          <w:sz w:val="20"/>
          <w:szCs w:val="20"/>
        </w:rPr>
        <w:t>3</w:t>
      </w:r>
      <w:r>
        <w:rPr>
          <w:rFonts w:asciiTheme="minorHAnsi" w:hAnsiTheme="minorHAnsi" w:cs="Arial"/>
          <w:sz w:val="20"/>
          <w:szCs w:val="20"/>
        </w:rPr>
        <w:t xml:space="preserve">, presentada ante el Servicio de Administración Tributaria; Estados Financieros Básicos por </w:t>
      </w:r>
      <w:r w:rsidR="00893FEE">
        <w:rPr>
          <w:rFonts w:asciiTheme="minorHAnsi" w:hAnsiTheme="minorHAnsi" w:cs="Arial"/>
          <w:sz w:val="20"/>
          <w:szCs w:val="20"/>
        </w:rPr>
        <w:t>el e</w:t>
      </w:r>
      <w:r>
        <w:rPr>
          <w:rFonts w:asciiTheme="minorHAnsi" w:hAnsiTheme="minorHAnsi" w:cs="Arial"/>
          <w:sz w:val="20"/>
          <w:szCs w:val="20"/>
        </w:rPr>
        <w:t xml:space="preserve">jercicio </w:t>
      </w:r>
      <w:r w:rsidRPr="00EB2CEF">
        <w:rPr>
          <w:rFonts w:asciiTheme="minorHAnsi" w:hAnsiTheme="minorHAnsi" w:cs="Arial"/>
          <w:sz w:val="20"/>
          <w:szCs w:val="20"/>
        </w:rPr>
        <w:t>que termin</w:t>
      </w:r>
      <w:r w:rsidR="00893FEE">
        <w:rPr>
          <w:rFonts w:asciiTheme="minorHAnsi" w:hAnsiTheme="minorHAnsi" w:cs="Arial"/>
          <w:sz w:val="20"/>
          <w:szCs w:val="20"/>
        </w:rPr>
        <w:t>ó</w:t>
      </w:r>
      <w:r w:rsidRPr="00EB2CEF">
        <w:rPr>
          <w:rFonts w:asciiTheme="minorHAnsi" w:hAnsiTheme="minorHAnsi" w:cs="Arial"/>
          <w:sz w:val="20"/>
          <w:szCs w:val="20"/>
        </w:rPr>
        <w:t xml:space="preserve"> el 31 de diciembre de </w:t>
      </w:r>
      <w:r w:rsidR="00351BFB">
        <w:rPr>
          <w:rFonts w:asciiTheme="minorHAnsi" w:hAnsiTheme="minorHAnsi" w:cs="Arial"/>
          <w:sz w:val="20"/>
          <w:szCs w:val="20"/>
        </w:rPr>
        <w:t>2023</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lastRenderedPageBreak/>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lastRenderedPageBreak/>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37C84CBB"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422DBB">
        <w:rPr>
          <w:rFonts w:asciiTheme="minorHAnsi" w:hAnsiTheme="minorHAnsi"/>
          <w:b/>
          <w:sz w:val="20"/>
          <w:szCs w:val="20"/>
        </w:rPr>
        <w:t>23</w:t>
      </w:r>
      <w:r w:rsidR="00A837CE" w:rsidRPr="00AF5143">
        <w:rPr>
          <w:rFonts w:asciiTheme="minorHAnsi" w:hAnsiTheme="minorHAnsi"/>
          <w:b/>
          <w:sz w:val="20"/>
          <w:szCs w:val="20"/>
        </w:rPr>
        <w:t xml:space="preserve"> de </w:t>
      </w:r>
      <w:r w:rsidR="00422DBB">
        <w:rPr>
          <w:rFonts w:asciiTheme="minorHAnsi" w:hAnsiTheme="minorHAnsi"/>
          <w:b/>
          <w:sz w:val="20"/>
          <w:szCs w:val="20"/>
        </w:rPr>
        <w:t>septiembre</w:t>
      </w:r>
      <w:r w:rsidR="00A837CE" w:rsidRPr="00AF5143">
        <w:rPr>
          <w:rFonts w:asciiTheme="minorHAnsi" w:hAnsiTheme="minorHAnsi"/>
          <w:b/>
          <w:sz w:val="20"/>
          <w:szCs w:val="20"/>
        </w:rPr>
        <w:t xml:space="preserve"> de 202</w:t>
      </w:r>
      <w:r w:rsidR="00351BFB">
        <w:rPr>
          <w:rFonts w:asciiTheme="minorHAnsi" w:hAnsiTheme="minorHAnsi"/>
          <w:b/>
          <w:sz w:val="20"/>
          <w:szCs w:val="20"/>
        </w:rPr>
        <w:t>4</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C668C4">
        <w:rPr>
          <w:rFonts w:asciiTheme="minorHAnsi" w:hAnsiTheme="minorHAnsi"/>
          <w:sz w:val="20"/>
          <w:szCs w:val="20"/>
          <w:highlight w:val="yellow"/>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lastRenderedPageBreak/>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lastRenderedPageBreak/>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2931B97E"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DA3161">
        <w:rPr>
          <w:rFonts w:asciiTheme="minorHAnsi" w:hAnsiTheme="minorHAnsi" w:cstheme="minorHAnsi"/>
          <w:b/>
          <w:sz w:val="20"/>
          <w:szCs w:val="20"/>
        </w:rPr>
        <w:t>2</w:t>
      </w:r>
      <w:r w:rsidR="00893FEE">
        <w:rPr>
          <w:rFonts w:asciiTheme="minorHAnsi" w:hAnsiTheme="minorHAnsi" w:cstheme="minorHAnsi"/>
          <w:b/>
          <w:sz w:val="20"/>
          <w:szCs w:val="20"/>
        </w:rPr>
        <w:t>6</w:t>
      </w:r>
      <w:r w:rsidR="00A837CE" w:rsidRPr="001F7B2B">
        <w:rPr>
          <w:rFonts w:asciiTheme="minorHAnsi" w:hAnsiTheme="minorHAnsi" w:cstheme="minorHAnsi"/>
          <w:b/>
          <w:sz w:val="20"/>
          <w:szCs w:val="20"/>
        </w:rPr>
        <w:t xml:space="preserve"> de </w:t>
      </w:r>
      <w:r w:rsidR="00893FEE">
        <w:rPr>
          <w:rFonts w:asciiTheme="minorHAnsi" w:hAnsiTheme="minorHAnsi" w:cstheme="minorHAnsi"/>
          <w:b/>
          <w:sz w:val="20"/>
          <w:szCs w:val="20"/>
        </w:rPr>
        <w:t>agosto</w:t>
      </w:r>
      <w:r w:rsidR="00A837CE" w:rsidRPr="001F7B2B">
        <w:rPr>
          <w:rFonts w:asciiTheme="minorHAnsi" w:hAnsiTheme="minorHAnsi" w:cstheme="minorHAnsi"/>
          <w:b/>
          <w:sz w:val="20"/>
          <w:szCs w:val="20"/>
        </w:rPr>
        <w:t xml:space="preserve"> de 202</w:t>
      </w:r>
      <w:r w:rsidR="00667728">
        <w:rPr>
          <w:rFonts w:asciiTheme="minorHAnsi" w:hAnsiTheme="minorHAnsi" w:cstheme="minorHAnsi"/>
          <w:b/>
          <w:sz w:val="20"/>
          <w:szCs w:val="20"/>
        </w:rPr>
        <w:t>4</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5408F" w14:textId="77777777" w:rsidR="004B0A0F" w:rsidRDefault="004B0A0F">
      <w:r>
        <w:separator/>
      </w:r>
    </w:p>
  </w:endnote>
  <w:endnote w:type="continuationSeparator" w:id="0">
    <w:p w14:paraId="762A814B" w14:textId="77777777" w:rsidR="004B0A0F" w:rsidRDefault="004B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06D98B04"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ECF220"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8A040A">
      <w:rPr>
        <w:sz w:val="14"/>
        <w:szCs w:val="14"/>
      </w:rPr>
      <w:t>5</w:t>
    </w:r>
    <w:r w:rsidR="001904C3">
      <w:rPr>
        <w:sz w:val="14"/>
        <w:szCs w:val="14"/>
      </w:rPr>
      <w:t>-202</w:t>
    </w:r>
    <w:r w:rsidR="00043812">
      <w:rPr>
        <w:sz w:val="14"/>
        <w:szCs w:val="14"/>
      </w:rPr>
      <w:t>4</w:t>
    </w:r>
    <w:r w:rsidR="00422DBB">
      <w:rPr>
        <w:sz w:val="14"/>
        <w:szCs w:val="14"/>
      </w:rPr>
      <w:t xml:space="preserve"> (Segunda Convocatoria)</w:t>
    </w:r>
  </w:p>
  <w:p w14:paraId="1C266937" w14:textId="77777777" w:rsidR="00E36013" w:rsidRPr="00F14E99" w:rsidRDefault="00E36013" w:rsidP="00E36013">
    <w:pPr>
      <w:pStyle w:val="Piedepgina"/>
      <w:jc w:val="right"/>
      <w:rPr>
        <w:sz w:val="14"/>
        <w:szCs w:val="14"/>
      </w:rPr>
    </w:pPr>
  </w:p>
  <w:p w14:paraId="089F1CE7" w14:textId="0B90E9FD"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5E47BB">
      <w:rPr>
        <w:noProof/>
        <w:sz w:val="16"/>
        <w:szCs w:val="16"/>
      </w:rPr>
      <w:t>1</w:t>
    </w:r>
    <w:r w:rsidRPr="00906146">
      <w:rPr>
        <w:sz w:val="16"/>
        <w:szCs w:val="16"/>
      </w:rPr>
      <w:fldChar w:fldCharType="end"/>
    </w:r>
    <w:r w:rsidRPr="00906146">
      <w:rPr>
        <w:sz w:val="16"/>
        <w:szCs w:val="16"/>
      </w:rPr>
      <w:t xml:space="preserve"> </w:t>
    </w:r>
  </w:p>
  <w:p w14:paraId="5B248D0D" w14:textId="77777777" w:rsidR="00183EBD" w:rsidRDefault="00183E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CE05" w14:textId="77777777" w:rsidR="004B0A0F" w:rsidRDefault="004B0A0F">
      <w:r>
        <w:separator/>
      </w:r>
    </w:p>
  </w:footnote>
  <w:footnote w:type="continuationSeparator" w:id="0">
    <w:p w14:paraId="7A83C084" w14:textId="77777777" w:rsidR="004B0A0F" w:rsidRDefault="004B0A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183EBD" w:rsidRDefault="00183EBD" w:rsidP="00183EBD">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2E68BA11">
              <wp:simplePos x="0" y="0"/>
              <wp:positionH relativeFrom="margin">
                <wp:align>right</wp:align>
              </wp:positionH>
              <wp:positionV relativeFrom="paragraph">
                <wp:posOffset>53963</wp:posOffset>
              </wp:positionV>
              <wp:extent cx="3822700" cy="532777"/>
              <wp:effectExtent l="0" t="0" r="6350"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532777"/>
                      </a:xfrm>
                      <a:prstGeom prst="rect">
                        <a:avLst/>
                      </a:prstGeom>
                      <a:solidFill>
                        <a:srgbClr val="FFFFFF"/>
                      </a:solidFill>
                      <a:ln w="9525">
                        <a:noFill/>
                        <a:miter lim="800000"/>
                        <a:headEnd/>
                        <a:tailEnd/>
                      </a:ln>
                    </wps:spPr>
                    <wps:txbx>
                      <w:txbxContent>
                        <w:p w14:paraId="06E512C8" w14:textId="77777777" w:rsidR="00422DBB"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A040A">
                            <w:rPr>
                              <w:b/>
                              <w:sz w:val="18"/>
                              <w:szCs w:val="18"/>
                            </w:rPr>
                            <w:t>5</w:t>
                          </w:r>
                          <w:r w:rsidR="00E04FC2">
                            <w:rPr>
                              <w:b/>
                              <w:sz w:val="18"/>
                              <w:szCs w:val="18"/>
                            </w:rPr>
                            <w:t>-</w:t>
                          </w:r>
                          <w:r w:rsidR="001904C3" w:rsidRPr="00244074">
                            <w:rPr>
                              <w:b/>
                              <w:sz w:val="18"/>
                              <w:szCs w:val="18"/>
                            </w:rPr>
                            <w:t>20</w:t>
                          </w:r>
                          <w:r w:rsidR="001904C3">
                            <w:rPr>
                              <w:b/>
                              <w:sz w:val="18"/>
                              <w:szCs w:val="18"/>
                            </w:rPr>
                            <w:t>2</w:t>
                          </w:r>
                        </w:p>
                        <w:p w14:paraId="20BD082B" w14:textId="1F9C347F" w:rsidR="00052017" w:rsidRPr="00521C6E" w:rsidRDefault="00422DBB" w:rsidP="00052017">
                          <w:pPr>
                            <w:rPr>
                              <w:b/>
                              <w:sz w:val="18"/>
                              <w:szCs w:val="18"/>
                            </w:rPr>
                          </w:pPr>
                          <w:r>
                            <w:rPr>
                              <w:b/>
                              <w:sz w:val="18"/>
                              <w:szCs w:val="18"/>
                            </w:rPr>
                            <w:t>(SEGUNDA CONVOCATORIA)</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4.25pt;width:301pt;height:41.9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" stroked="f">
              <v:textbox>
                <w:txbxContent>
                  <w:p w14:paraId="06E512C8" w14:textId="77777777" w:rsidR="00422DBB"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A040A">
                      <w:rPr>
                        <w:b/>
                        <w:sz w:val="18"/>
                        <w:szCs w:val="18"/>
                      </w:rPr>
                      <w:t>5</w:t>
                    </w:r>
                    <w:r w:rsidR="00E04FC2">
                      <w:rPr>
                        <w:b/>
                        <w:sz w:val="18"/>
                        <w:szCs w:val="18"/>
                      </w:rPr>
                      <w:t>-</w:t>
                    </w:r>
                    <w:r w:rsidR="001904C3" w:rsidRPr="00244074">
                      <w:rPr>
                        <w:b/>
                        <w:sz w:val="18"/>
                        <w:szCs w:val="18"/>
                      </w:rPr>
                      <w:t>20</w:t>
                    </w:r>
                    <w:r w:rsidR="001904C3">
                      <w:rPr>
                        <w:b/>
                        <w:sz w:val="18"/>
                        <w:szCs w:val="18"/>
                      </w:rPr>
                      <w:t>2</w:t>
                    </w:r>
                  </w:p>
                  <w:p w14:paraId="20BD082B" w14:textId="1F9C347F" w:rsidR="00052017" w:rsidRPr="00521C6E" w:rsidRDefault="00422DBB" w:rsidP="00052017">
                    <w:pPr>
                      <w:rPr>
                        <w:b/>
                        <w:sz w:val="18"/>
                        <w:szCs w:val="18"/>
                      </w:rPr>
                    </w:pPr>
                    <w:r>
                      <w:rPr>
                        <w:b/>
                        <w:sz w:val="18"/>
                        <w:szCs w:val="18"/>
                      </w:rPr>
                      <w:t>(SEGUNDA CONVOCATORIA)</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0B128"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4A7F"/>
    <w:rsid w:val="00094CB6"/>
    <w:rsid w:val="000A64E3"/>
    <w:rsid w:val="000B0977"/>
    <w:rsid w:val="000B2455"/>
    <w:rsid w:val="000B54B0"/>
    <w:rsid w:val="000C2B3C"/>
    <w:rsid w:val="000C36E4"/>
    <w:rsid w:val="000C402E"/>
    <w:rsid w:val="000C41B5"/>
    <w:rsid w:val="000C7CCB"/>
    <w:rsid w:val="000C7EC8"/>
    <w:rsid w:val="000D444C"/>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3EBD"/>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081F"/>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04A0D"/>
    <w:rsid w:val="00307DFE"/>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C74A5"/>
    <w:rsid w:val="003E7D73"/>
    <w:rsid w:val="003F7431"/>
    <w:rsid w:val="00403CA7"/>
    <w:rsid w:val="00422DBB"/>
    <w:rsid w:val="00423996"/>
    <w:rsid w:val="00431EC1"/>
    <w:rsid w:val="00441FE0"/>
    <w:rsid w:val="00445148"/>
    <w:rsid w:val="004575C8"/>
    <w:rsid w:val="00457F93"/>
    <w:rsid w:val="00471F03"/>
    <w:rsid w:val="0047257D"/>
    <w:rsid w:val="00475605"/>
    <w:rsid w:val="00482517"/>
    <w:rsid w:val="00487B2D"/>
    <w:rsid w:val="00487F4A"/>
    <w:rsid w:val="00490F1C"/>
    <w:rsid w:val="004A56B1"/>
    <w:rsid w:val="004A5801"/>
    <w:rsid w:val="004B0A0F"/>
    <w:rsid w:val="004B5C53"/>
    <w:rsid w:val="004C3222"/>
    <w:rsid w:val="004D0944"/>
    <w:rsid w:val="004D1F78"/>
    <w:rsid w:val="004D6180"/>
    <w:rsid w:val="004E211F"/>
    <w:rsid w:val="004E7445"/>
    <w:rsid w:val="004F090D"/>
    <w:rsid w:val="004F1824"/>
    <w:rsid w:val="004F628B"/>
    <w:rsid w:val="004F6588"/>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7BB"/>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237A"/>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11EF0"/>
    <w:rsid w:val="008208D9"/>
    <w:rsid w:val="00830E74"/>
    <w:rsid w:val="0084261A"/>
    <w:rsid w:val="008562EF"/>
    <w:rsid w:val="00871DD9"/>
    <w:rsid w:val="0087526E"/>
    <w:rsid w:val="00876821"/>
    <w:rsid w:val="00890937"/>
    <w:rsid w:val="00891C59"/>
    <w:rsid w:val="0089397C"/>
    <w:rsid w:val="00893FEE"/>
    <w:rsid w:val="008A040A"/>
    <w:rsid w:val="008A539E"/>
    <w:rsid w:val="008B3F2D"/>
    <w:rsid w:val="008C3891"/>
    <w:rsid w:val="008C6D9D"/>
    <w:rsid w:val="008D075C"/>
    <w:rsid w:val="008D28B2"/>
    <w:rsid w:val="008D2984"/>
    <w:rsid w:val="008E3405"/>
    <w:rsid w:val="008F03E5"/>
    <w:rsid w:val="008F3891"/>
    <w:rsid w:val="008F5234"/>
    <w:rsid w:val="009063BD"/>
    <w:rsid w:val="00910164"/>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30EF9"/>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A30F1"/>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51E21"/>
    <w:rsid w:val="00B53C4E"/>
    <w:rsid w:val="00B54B19"/>
    <w:rsid w:val="00B64DD0"/>
    <w:rsid w:val="00B67868"/>
    <w:rsid w:val="00B763DD"/>
    <w:rsid w:val="00B771B7"/>
    <w:rsid w:val="00B80559"/>
    <w:rsid w:val="00B82525"/>
    <w:rsid w:val="00BA0D58"/>
    <w:rsid w:val="00BA68F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27EC5"/>
    <w:rsid w:val="00C428A6"/>
    <w:rsid w:val="00C42956"/>
    <w:rsid w:val="00C47843"/>
    <w:rsid w:val="00C63AE3"/>
    <w:rsid w:val="00C668C4"/>
    <w:rsid w:val="00C6742D"/>
    <w:rsid w:val="00C67A84"/>
    <w:rsid w:val="00C70A34"/>
    <w:rsid w:val="00C76BC5"/>
    <w:rsid w:val="00C824E4"/>
    <w:rsid w:val="00C82DAB"/>
    <w:rsid w:val="00C83A58"/>
    <w:rsid w:val="00C920D6"/>
    <w:rsid w:val="00C93BEE"/>
    <w:rsid w:val="00C96BF5"/>
    <w:rsid w:val="00CC3354"/>
    <w:rsid w:val="00CF0DC9"/>
    <w:rsid w:val="00CF30FB"/>
    <w:rsid w:val="00CF7149"/>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A3161"/>
    <w:rsid w:val="00DB612A"/>
    <w:rsid w:val="00DC0A7E"/>
    <w:rsid w:val="00DC1AEF"/>
    <w:rsid w:val="00DC37CA"/>
    <w:rsid w:val="00DC41EF"/>
    <w:rsid w:val="00DD0C49"/>
    <w:rsid w:val="00DD5E2F"/>
    <w:rsid w:val="00DE40DD"/>
    <w:rsid w:val="00DE7909"/>
    <w:rsid w:val="00DE7AB1"/>
    <w:rsid w:val="00DF0A54"/>
    <w:rsid w:val="00DF1DC8"/>
    <w:rsid w:val="00E04FC2"/>
    <w:rsid w:val="00E10D5E"/>
    <w:rsid w:val="00E141D6"/>
    <w:rsid w:val="00E21816"/>
    <w:rsid w:val="00E226E6"/>
    <w:rsid w:val="00E23DC1"/>
    <w:rsid w:val="00E30B87"/>
    <w:rsid w:val="00E36013"/>
    <w:rsid w:val="00E44EE6"/>
    <w:rsid w:val="00E60998"/>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537CD"/>
    <w:rsid w:val="00F66E18"/>
    <w:rsid w:val="00F72E10"/>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5B37"/>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635D1AC-2B89-4E3D-924B-D87E3A5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2913</TotalTime>
  <Pages>14</Pages>
  <Words>6601</Words>
  <Characters>36306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8</cp:revision>
  <cp:lastPrinted>2023-08-07T15:38:00Z</cp:lastPrinted>
  <dcterms:created xsi:type="dcterms:W3CDTF">2017-06-12T18:53:00Z</dcterms:created>
  <dcterms:modified xsi:type="dcterms:W3CDTF">2024-10-22T18:50:00Z</dcterms:modified>
</cp:coreProperties>
</file>