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670C4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70C4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COMERCIALIZADORA GLOMAVE,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70C47" w:rsidRDefault="00670C4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70C47">
              <w:rPr>
                <w:rFonts w:ascii="Arial Narrow" w:hAnsi="Arial Narrow"/>
              </w:rPr>
              <w:t>CGL200630C81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670C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70C4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2,155,172.41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670C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DE </w:t>
            </w:r>
            <w:r w:rsidR="00670C4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JULIO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670C47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325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70C47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2022-09-27T19:30:00Z</dcterms:modified>
</cp:coreProperties>
</file>