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F043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F043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ICA INTEGRACIÓN CONTABLE Y ASESORIA, S.C.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F043E" w:rsidRDefault="008F043E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F043E">
              <w:rPr>
                <w:rFonts w:ascii="Arial Narrow" w:hAnsi="Arial Narrow" w:cs="Calibri"/>
                <w:lang w:eastAsia="es-MX"/>
              </w:rPr>
              <w:t>IIC100330EQ2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8F043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F043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440,000.00</w:t>
            </w:r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F043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8F043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AGOSTO 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8F043E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070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907BD"/>
    <w:rsid w:val="008F043E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2022-09-22T13:41:00Z</dcterms:modified>
</cp:coreProperties>
</file>