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3044BB">
        <w:trPr>
          <w:trHeight w:val="474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D416A" w:rsidP="00ED416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416A">
              <w:rPr>
                <w:rFonts w:ascii="Arial" w:hAnsi="Arial" w:cs="Arial"/>
                <w:color w:val="000000"/>
                <w:sz w:val="18"/>
                <w:szCs w:val="18"/>
              </w:rPr>
              <w:t>Pavimento Hidráulico en Acceso al Fraccionamiento Real Victoria entre Puente Vehícular y Beethoven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D416A">
              <w:rPr>
                <w:rFonts w:ascii="Arial" w:hAnsi="Arial" w:cs="Arial"/>
                <w:color w:val="000000"/>
                <w:sz w:val="18"/>
                <w:szCs w:val="18"/>
              </w:rPr>
              <w:t>Fracc. Real Victoria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ED416A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ED416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D416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ED416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D416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D416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bookmarkStart w:id="0" w:name="_GoBack"/>
            <w:bookmarkEnd w:id="0"/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sz w:val="18"/>
          <w:szCs w:val="18"/>
        </w:rPr>
        <w:t>05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>MARZO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AE55E8"/>
    <w:rsid w:val="00ED416A"/>
    <w:rsid w:val="00E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523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</cp:revision>
  <dcterms:created xsi:type="dcterms:W3CDTF">2019-01-24T15:22:00Z</dcterms:created>
  <dcterms:modified xsi:type="dcterms:W3CDTF">2019-01-31T21:10:00Z</dcterms:modified>
</cp:coreProperties>
</file>